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rPr>
          <w:rFonts w:ascii="黑体" w:hAnsi="宋体" w:eastAsia="黑体"/>
          <w:kern w:val="0"/>
        </w:rPr>
      </w:pPr>
      <w:r>
        <w:rPr>
          <w:rFonts w:hint="eastAsia" w:ascii="黑体" w:hAnsi="宋体" w:eastAsia="黑体" w:cs="黑体"/>
          <w:kern w:val="0"/>
        </w:rPr>
        <w:t>市十六届人大</w:t>
      </w:r>
    </w:p>
    <w:p>
      <w:pPr>
        <w:snapToGrid w:val="0"/>
        <w:spacing w:line="360" w:lineRule="auto"/>
        <w:rPr>
          <w:rFonts w:ascii="黑体" w:hAnsi="宋体" w:eastAsia="黑体"/>
          <w:kern w:val="0"/>
        </w:rPr>
      </w:pPr>
      <w:r>
        <w:rPr>
          <w:rFonts w:hint="eastAsia" w:ascii="黑体" w:hAnsi="宋体" w:eastAsia="黑体" w:cs="黑体"/>
          <w:kern w:val="0"/>
        </w:rPr>
        <w:t>四次会议文件（）</w:t>
      </w:r>
    </w:p>
    <w:p>
      <w:pPr>
        <w:snapToGrid w:val="0"/>
        <w:spacing w:line="360" w:lineRule="auto"/>
        <w:rPr>
          <w:rFonts w:ascii="黑体" w:hAnsi="宋体" w:eastAsia="黑体"/>
          <w:kern w:val="0"/>
        </w:rPr>
      </w:pPr>
    </w:p>
    <w:p>
      <w:pPr>
        <w:snapToGrid w:val="0"/>
        <w:spacing w:line="360" w:lineRule="auto"/>
        <w:rPr>
          <w:rFonts w:ascii="黑体" w:hAnsi="宋体" w:eastAsia="黑体"/>
          <w:kern w:val="0"/>
        </w:rPr>
      </w:pPr>
    </w:p>
    <w:p>
      <w:pPr>
        <w:snapToGrid w:val="0"/>
        <w:spacing w:line="360" w:lineRule="auto"/>
        <w:rPr>
          <w:rFonts w:ascii="黑体" w:hAnsi="宋体" w:eastAsia="黑体"/>
          <w:kern w:val="0"/>
        </w:rPr>
      </w:pPr>
    </w:p>
    <w:p>
      <w:pPr>
        <w:adjustRightInd w:val="0"/>
        <w:snapToGrid w:val="0"/>
        <w:spacing w:line="360" w:lineRule="auto"/>
        <w:jc w:val="center"/>
        <w:rPr>
          <w:rFonts w:ascii="方正小标宋简体" w:hAnsi="宋体" w:eastAsia="方正小标宋简体"/>
          <w:snapToGrid w:val="0"/>
          <w:kern w:val="0"/>
          <w:sz w:val="44"/>
          <w:szCs w:val="44"/>
        </w:rPr>
      </w:pPr>
      <w:r>
        <w:rPr>
          <w:rFonts w:hint="eastAsia" w:ascii="方正小标宋简体" w:hAnsi="宋体" w:eastAsia="方正小标宋简体" w:cs="方正小标宋简体"/>
          <w:snapToGrid w:val="0"/>
          <w:kern w:val="0"/>
          <w:sz w:val="44"/>
          <w:szCs w:val="44"/>
        </w:rPr>
        <w:t>四会市人民检察院工作报告</w:t>
      </w:r>
    </w:p>
    <w:p>
      <w:pPr>
        <w:pStyle w:val="2"/>
        <w:snapToGrid w:val="0"/>
        <w:spacing w:after="0" w:line="360" w:lineRule="auto"/>
        <w:ind w:left="0" w:leftChars="0" w:firstLine="1257" w:firstLineChars="393"/>
        <w:rPr>
          <w:rFonts w:ascii="仿宋_GB2312" w:eastAsia="仿宋_GB2312"/>
          <w:sz w:val="32"/>
          <w:szCs w:val="32"/>
        </w:rPr>
      </w:pPr>
      <w:r>
        <w:rPr>
          <w:rFonts w:ascii="仿宋_GB2312" w:eastAsia="仿宋_GB2312"/>
          <w:sz w:val="32"/>
          <w:szCs w:val="32"/>
        </w:rPr>
        <w:t>——</w:t>
      </w:r>
      <w:r>
        <w:rPr>
          <w:rFonts w:ascii="仿宋_GB2312" w:eastAsia="仿宋_GB2312" w:cs="仿宋_GB2312"/>
          <w:sz w:val="32"/>
          <w:szCs w:val="32"/>
        </w:rPr>
        <w:t>2020</w:t>
      </w:r>
      <w:r>
        <w:rPr>
          <w:rFonts w:hint="eastAsia" w:ascii="仿宋_GB2312" w:eastAsia="仿宋_GB2312" w:cs="仿宋_GB2312"/>
          <w:sz w:val="32"/>
          <w:szCs w:val="32"/>
        </w:rPr>
        <w:t>年</w:t>
      </w:r>
      <w:r>
        <w:rPr>
          <w:rFonts w:ascii="仿宋_GB2312" w:eastAsia="仿宋_GB2312" w:cs="仿宋_GB2312"/>
          <w:sz w:val="32"/>
          <w:szCs w:val="32"/>
        </w:rPr>
        <w:t>6</w:t>
      </w:r>
      <w:r>
        <w:rPr>
          <w:rFonts w:hint="eastAsia" w:ascii="仿宋_GB2312" w:eastAsia="仿宋_GB2312" w:cs="仿宋_GB2312"/>
          <w:sz w:val="32"/>
          <w:szCs w:val="32"/>
        </w:rPr>
        <w:t>月</w:t>
      </w:r>
      <w:r>
        <w:rPr>
          <w:rFonts w:ascii="仿宋_GB2312" w:eastAsia="仿宋_GB2312" w:cs="仿宋_GB2312"/>
          <w:sz w:val="32"/>
          <w:szCs w:val="32"/>
        </w:rPr>
        <w:t>9</w:t>
      </w:r>
      <w:r>
        <w:rPr>
          <w:rFonts w:hint="eastAsia" w:ascii="仿宋_GB2312" w:eastAsia="仿宋_GB2312" w:cs="仿宋_GB2312"/>
          <w:sz w:val="32"/>
          <w:szCs w:val="32"/>
        </w:rPr>
        <w:t>日在四会市第十六届</w:t>
      </w:r>
    </w:p>
    <w:p>
      <w:pPr>
        <w:pStyle w:val="2"/>
        <w:snapToGrid w:val="0"/>
        <w:spacing w:after="0" w:line="360" w:lineRule="auto"/>
        <w:ind w:left="0" w:leftChars="0" w:firstLine="1920" w:firstLineChars="600"/>
        <w:rPr>
          <w:rFonts w:hint="eastAsia" w:ascii="仿宋_GB2312" w:eastAsia="仿宋_GB2312" w:cs="仿宋_GB2312"/>
          <w:sz w:val="32"/>
          <w:szCs w:val="32"/>
        </w:rPr>
      </w:pPr>
      <w:r>
        <w:rPr>
          <w:rFonts w:hint="eastAsia" w:ascii="仿宋_GB2312" w:eastAsia="仿宋_GB2312" w:cs="仿宋_GB2312"/>
          <w:sz w:val="32"/>
          <w:szCs w:val="32"/>
        </w:rPr>
        <w:t>人民代表大会第五次会议上</w:t>
      </w:r>
    </w:p>
    <w:p>
      <w:pPr>
        <w:pStyle w:val="2"/>
        <w:snapToGrid w:val="0"/>
        <w:spacing w:after="0" w:line="360" w:lineRule="auto"/>
        <w:ind w:left="0" w:leftChars="0" w:firstLine="1920" w:firstLineChars="600"/>
        <w:rPr>
          <w:rFonts w:hint="eastAsia" w:ascii="仿宋_GB2312" w:eastAsia="仿宋_GB2312" w:cs="仿宋_GB2312"/>
          <w:sz w:val="32"/>
          <w:szCs w:val="32"/>
        </w:rPr>
      </w:pPr>
    </w:p>
    <w:p>
      <w:pPr>
        <w:pStyle w:val="2"/>
        <w:snapToGrid w:val="0"/>
        <w:spacing w:after="0" w:line="360" w:lineRule="auto"/>
        <w:ind w:left="0" w:leftChars="0" w:firstLine="640"/>
        <w:jc w:val="center"/>
        <w:rPr>
          <w:rFonts w:ascii="楷体_GB2312" w:eastAsia="楷体_GB2312"/>
          <w:sz w:val="32"/>
          <w:szCs w:val="32"/>
        </w:rPr>
      </w:pPr>
      <w:r>
        <w:rPr>
          <w:rFonts w:hint="eastAsia" w:ascii="楷体_GB2312" w:eastAsia="楷体_GB2312" w:cs="楷体_GB2312"/>
          <w:sz w:val="32"/>
          <w:szCs w:val="32"/>
        </w:rPr>
        <w:t>四会市人民检察院检察长梁永新</w:t>
      </w:r>
    </w:p>
    <w:p>
      <w:pPr>
        <w:spacing w:line="360" w:lineRule="auto"/>
        <w:jc w:val="center"/>
        <w:rPr>
          <w:rFonts w:ascii="仿宋_GB2312" w:eastAsia="仿宋_GB2312"/>
          <w:sz w:val="32"/>
          <w:szCs w:val="32"/>
        </w:rPr>
      </w:pPr>
    </w:p>
    <w:p>
      <w:pPr>
        <w:snapToGrid w:val="0"/>
        <w:spacing w:line="360" w:lineRule="auto"/>
        <w:rPr>
          <w:rFonts w:ascii="仿宋_GB2312" w:hAnsi="仿宋" w:eastAsia="仿宋_GB2312"/>
          <w:kern w:val="0"/>
          <w:sz w:val="32"/>
          <w:szCs w:val="32"/>
        </w:rPr>
      </w:pPr>
      <w:r>
        <w:rPr>
          <w:rFonts w:hint="eastAsia" w:ascii="仿宋_GB2312" w:hAnsi="仿宋" w:eastAsia="仿宋_GB2312" w:cs="仿宋_GB2312"/>
          <w:kern w:val="0"/>
          <w:sz w:val="32"/>
          <w:szCs w:val="32"/>
        </w:rPr>
        <w:t>各位代表：</w:t>
      </w:r>
    </w:p>
    <w:p>
      <w:pPr>
        <w:snapToGrid w:val="0"/>
        <w:spacing w:line="360" w:lineRule="auto"/>
        <w:ind w:firstLine="640" w:firstLineChars="200"/>
        <w:rPr>
          <w:rFonts w:ascii="仿宋_GB2312" w:hAnsi="仿宋" w:eastAsia="仿宋_GB2312"/>
          <w:kern w:val="0"/>
          <w:sz w:val="32"/>
          <w:szCs w:val="32"/>
        </w:rPr>
      </w:pPr>
      <w:r>
        <w:rPr>
          <w:rFonts w:hint="eastAsia" w:ascii="仿宋_GB2312" w:hAnsi="仿宋" w:eastAsia="仿宋_GB2312" w:cs="仿宋_GB2312"/>
          <w:kern w:val="0"/>
          <w:sz w:val="32"/>
          <w:szCs w:val="32"/>
        </w:rPr>
        <w:t>现在，我代表市人民检察院向大会报告工作，请予审议，并请政协委员和其他列席人员提出意见。</w:t>
      </w:r>
    </w:p>
    <w:p>
      <w:pPr>
        <w:snapToGrid w:val="0"/>
        <w:spacing w:line="360" w:lineRule="auto"/>
        <w:jc w:val="center"/>
        <w:rPr>
          <w:rFonts w:ascii="黑体" w:hAnsi="黑体" w:eastAsia="黑体"/>
          <w:kern w:val="0"/>
          <w:sz w:val="32"/>
          <w:szCs w:val="32"/>
        </w:rPr>
      </w:pPr>
      <w:r>
        <w:rPr>
          <w:rFonts w:hint="eastAsia" w:ascii="黑体" w:hAnsi="黑体" w:eastAsia="黑体" w:cs="黑体"/>
          <w:kern w:val="0"/>
          <w:sz w:val="32"/>
          <w:szCs w:val="32"/>
        </w:rPr>
        <w:t>检察履职战疫情况</w:t>
      </w:r>
    </w:p>
    <w:p>
      <w:pPr>
        <w:ind w:firstLine="640" w:firstLineChars="200"/>
        <w:jc w:val="left"/>
        <w:rPr>
          <w:rFonts w:ascii="仿宋_GB2312" w:hAnsi="仿宋" w:eastAsia="仿宋_GB2312"/>
          <w:kern w:val="0"/>
          <w:sz w:val="32"/>
          <w:szCs w:val="32"/>
        </w:rPr>
      </w:pPr>
      <w:r>
        <w:rPr>
          <w:rFonts w:hint="eastAsia" w:ascii="仿宋_GB2312" w:eastAsia="仿宋_GB2312" w:cs="仿宋_GB2312"/>
          <w:sz w:val="32"/>
          <w:szCs w:val="32"/>
        </w:rPr>
        <w:t>我院坚决贯彻习近平总书记重要指示和党中央决策部署，贯彻落实省、肇庆、四会和上级检察机关关于疫情防控工作的部署要求，主动服务疫情防控大局，在依法战疫中守初心、担使命。</w:t>
      </w:r>
      <w:r>
        <w:rPr>
          <w:rFonts w:hint="eastAsia" w:ascii="仿宋_GB2312" w:hAnsi="微软雅黑" w:eastAsia="仿宋_GB2312" w:cs="仿宋_GB2312"/>
          <w:kern w:val="0"/>
          <w:sz w:val="32"/>
          <w:szCs w:val="32"/>
        </w:rPr>
        <w:t>坚持自身防疫与依法履职两手抓，</w:t>
      </w:r>
      <w:r>
        <w:rPr>
          <w:rFonts w:hint="eastAsia" w:ascii="仿宋_GB2312" w:hAnsi="仿宋_GB2312" w:eastAsia="仿宋_GB2312" w:cs="仿宋_GB2312"/>
          <w:sz w:val="32"/>
          <w:szCs w:val="32"/>
        </w:rPr>
        <w:t>“从重、从快、从严”打击涉疫情违法犯罪。</w:t>
      </w:r>
      <w:r>
        <w:rPr>
          <w:rFonts w:ascii="仿宋_GB2312" w:eastAsia="仿宋_GB2312" w:cs="仿宋_GB2312"/>
          <w:sz w:val="32"/>
          <w:szCs w:val="32"/>
        </w:rPr>
        <w:t>2020</w:t>
      </w:r>
      <w:r>
        <w:rPr>
          <w:rFonts w:hint="eastAsia" w:ascii="仿宋_GB2312" w:eastAsia="仿宋_GB2312" w:cs="仿宋_GB2312"/>
          <w:sz w:val="32"/>
          <w:szCs w:val="32"/>
        </w:rPr>
        <w:t>年</w:t>
      </w:r>
      <w:r>
        <w:rPr>
          <w:rFonts w:ascii="仿宋_GB2312" w:eastAsia="仿宋_GB2312" w:cs="仿宋_GB2312"/>
          <w:sz w:val="32"/>
          <w:szCs w:val="32"/>
        </w:rPr>
        <w:t>2</w:t>
      </w:r>
      <w:r>
        <w:rPr>
          <w:rFonts w:hint="eastAsia" w:ascii="仿宋_GB2312" w:eastAsia="仿宋_GB2312" w:cs="仿宋_GB2312"/>
          <w:sz w:val="32"/>
          <w:szCs w:val="32"/>
        </w:rPr>
        <w:t>月至</w:t>
      </w:r>
      <w:r>
        <w:rPr>
          <w:rFonts w:ascii="仿宋_GB2312" w:eastAsia="仿宋_GB2312" w:cs="仿宋_GB2312"/>
          <w:sz w:val="32"/>
          <w:szCs w:val="32"/>
        </w:rPr>
        <w:t>5</w:t>
      </w:r>
      <w:r>
        <w:rPr>
          <w:rFonts w:hint="eastAsia" w:ascii="仿宋_GB2312" w:eastAsia="仿宋_GB2312" w:cs="仿宋_GB2312"/>
          <w:sz w:val="32"/>
          <w:szCs w:val="32"/>
        </w:rPr>
        <w:t>月，共批准逮捕涉疫情刑事犯罪</w:t>
      </w:r>
      <w:r>
        <w:rPr>
          <w:rFonts w:ascii="仿宋_GB2312" w:eastAsia="仿宋_GB2312" w:cs="仿宋_GB2312"/>
          <w:sz w:val="32"/>
          <w:szCs w:val="32"/>
        </w:rPr>
        <w:t>2</w:t>
      </w:r>
      <w:r>
        <w:rPr>
          <w:rFonts w:hint="eastAsia" w:ascii="仿宋_GB2312" w:eastAsia="仿宋_GB2312" w:cs="仿宋_GB2312"/>
          <w:sz w:val="32"/>
          <w:szCs w:val="32"/>
        </w:rPr>
        <w:t>件</w:t>
      </w:r>
      <w:r>
        <w:rPr>
          <w:rFonts w:ascii="仿宋_GB2312" w:eastAsia="仿宋_GB2312" w:cs="仿宋_GB2312"/>
          <w:sz w:val="32"/>
          <w:szCs w:val="32"/>
        </w:rPr>
        <w:t>2</w:t>
      </w:r>
      <w:r>
        <w:rPr>
          <w:rFonts w:hint="eastAsia" w:ascii="仿宋_GB2312" w:eastAsia="仿宋_GB2312" w:cs="仿宋_GB2312"/>
          <w:sz w:val="32"/>
          <w:szCs w:val="32"/>
        </w:rPr>
        <w:t>人，起诉</w:t>
      </w:r>
      <w:r>
        <w:rPr>
          <w:rFonts w:ascii="仿宋_GB2312" w:eastAsia="仿宋_GB2312" w:cs="仿宋_GB2312"/>
          <w:sz w:val="32"/>
          <w:szCs w:val="32"/>
        </w:rPr>
        <w:t>1</w:t>
      </w:r>
      <w:r>
        <w:rPr>
          <w:rFonts w:hint="eastAsia" w:ascii="仿宋_GB2312" w:eastAsia="仿宋_GB2312" w:cs="仿宋_GB2312"/>
          <w:sz w:val="32"/>
          <w:szCs w:val="32"/>
        </w:rPr>
        <w:t>件</w:t>
      </w:r>
      <w:r>
        <w:rPr>
          <w:rFonts w:ascii="仿宋_GB2312" w:eastAsia="仿宋_GB2312" w:cs="仿宋_GB2312"/>
          <w:sz w:val="32"/>
          <w:szCs w:val="32"/>
        </w:rPr>
        <w:t>1</w:t>
      </w:r>
      <w:r>
        <w:rPr>
          <w:rFonts w:hint="eastAsia" w:ascii="仿宋_GB2312" w:eastAsia="仿宋_GB2312" w:cs="仿宋_GB2312"/>
          <w:sz w:val="32"/>
          <w:szCs w:val="32"/>
        </w:rPr>
        <w:t>人，其中办理一件涉案金额达</w:t>
      </w:r>
      <w:r>
        <w:rPr>
          <w:rFonts w:ascii="仿宋_GB2312" w:eastAsia="仿宋_GB2312" w:cs="仿宋_GB2312"/>
          <w:sz w:val="32"/>
          <w:szCs w:val="32"/>
        </w:rPr>
        <w:t>100</w:t>
      </w:r>
      <w:r>
        <w:rPr>
          <w:rFonts w:hint="eastAsia" w:ascii="仿宋_GB2312" w:eastAsia="仿宋_GB2312" w:cs="仿宋_GB2312"/>
          <w:sz w:val="32"/>
          <w:szCs w:val="32"/>
        </w:rPr>
        <w:t>多万元的利用疫情诈骗案，从严从快，并及时向社会公开办理情况，</w:t>
      </w:r>
      <w:r>
        <w:rPr>
          <w:rFonts w:hint="eastAsia" w:ascii="仿宋_GB2312" w:hAnsi="微软雅黑" w:eastAsia="仿宋_GB2312" w:cs="仿宋_GB2312"/>
          <w:kern w:val="0"/>
          <w:sz w:val="32"/>
          <w:szCs w:val="32"/>
        </w:rPr>
        <w:t>依法惩治危害疫情防控犯罪</w:t>
      </w:r>
      <w:r>
        <w:rPr>
          <w:rFonts w:hint="eastAsia" w:ascii="仿宋_GB2312" w:eastAsia="仿宋_GB2312" w:cs="仿宋_GB2312"/>
          <w:sz w:val="32"/>
          <w:szCs w:val="32"/>
        </w:rPr>
        <w:t>。</w:t>
      </w:r>
      <w:r>
        <w:rPr>
          <w:rFonts w:hint="eastAsia" w:ascii="仿宋_GB2312" w:hAnsi="仿宋_GB2312" w:eastAsia="仿宋_GB2312" w:cs="仿宋_GB2312"/>
          <w:sz w:val="32"/>
          <w:szCs w:val="32"/>
        </w:rPr>
        <w:t>抗疫办案两不误，利用看守所视频提审</w:t>
      </w:r>
      <w:r>
        <w:rPr>
          <w:rFonts w:ascii="仿宋_GB2312" w:hAnsi="仿宋_GB2312" w:eastAsia="仿宋_GB2312" w:cs="仿宋_GB2312"/>
          <w:sz w:val="32"/>
          <w:szCs w:val="32"/>
        </w:rPr>
        <w:t>135</w:t>
      </w:r>
      <w:r>
        <w:rPr>
          <w:rFonts w:hint="eastAsia" w:ascii="仿宋_GB2312" w:hAnsi="仿宋_GB2312" w:eastAsia="仿宋_GB2312" w:cs="仿宋_GB2312"/>
          <w:sz w:val="32"/>
          <w:szCs w:val="32"/>
        </w:rPr>
        <w:t>人次，运用远程</w:t>
      </w:r>
      <w:r>
        <w:rPr>
          <w:rFonts w:ascii="仿宋_GB2312" w:hAnsi="仿宋_GB2312" w:eastAsia="仿宋_GB2312" w:cs="仿宋_GB2312"/>
          <w:sz w:val="32"/>
          <w:szCs w:val="32"/>
        </w:rPr>
        <w:t>APP</w:t>
      </w:r>
      <w:r>
        <w:rPr>
          <w:rFonts w:hint="eastAsia" w:ascii="仿宋_GB2312" w:hAnsi="仿宋_GB2312" w:eastAsia="仿宋_GB2312" w:cs="仿宋_GB2312"/>
          <w:sz w:val="32"/>
          <w:szCs w:val="32"/>
        </w:rPr>
        <w:t>开庭</w:t>
      </w:r>
      <w:r>
        <w:rPr>
          <w:rFonts w:ascii="仿宋_GB2312" w:hAnsi="仿宋_GB2312" w:eastAsia="仿宋_GB2312" w:cs="仿宋_GB2312"/>
          <w:sz w:val="32"/>
          <w:szCs w:val="32"/>
        </w:rPr>
        <w:t>101</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127</w:t>
      </w:r>
      <w:r>
        <w:rPr>
          <w:rFonts w:hint="eastAsia" w:ascii="仿宋_GB2312" w:hAnsi="仿宋_GB2312" w:eastAsia="仿宋_GB2312" w:cs="仿宋_GB2312"/>
          <w:sz w:val="32"/>
          <w:szCs w:val="32"/>
        </w:rPr>
        <w:t>人，既保障监管场所安全和避免人员聚集，又保证案件得到及时办理。</w:t>
      </w:r>
      <w:r>
        <w:rPr>
          <w:rFonts w:hint="eastAsia" w:ascii="仿宋_GB2312" w:hAnsi="黑体" w:eastAsia="仿宋_GB2312" w:cs="仿宋_GB2312"/>
          <w:sz w:val="32"/>
          <w:szCs w:val="32"/>
        </w:rPr>
        <w:t>全体检察人员总动员，下沉到地豆镇、沙尾社区、黄岗社区协助抓好疫情防控工作，配合市委宣传“一盘棋”，积极利用微信公众号、工作群、户外宣传屏</w:t>
      </w:r>
      <w:r>
        <w:rPr>
          <w:rFonts w:hint="eastAsia" w:ascii="仿宋_GB2312" w:eastAsia="仿宋_GB2312" w:cs="仿宋_GB2312"/>
          <w:sz w:val="32"/>
          <w:szCs w:val="32"/>
        </w:rPr>
        <w:t>推送疫情防控信息，加强防疫法治宣传，提醒广大市民增强防控疫情意识。</w:t>
      </w:r>
    </w:p>
    <w:p>
      <w:pPr>
        <w:pStyle w:val="2"/>
        <w:snapToGrid w:val="0"/>
        <w:spacing w:after="0" w:line="360" w:lineRule="auto"/>
        <w:ind w:left="0" w:leftChars="0"/>
        <w:jc w:val="center"/>
        <w:outlineLvl w:val="0"/>
        <w:rPr>
          <w:rFonts w:ascii="黑体" w:hAnsi="黑体" w:eastAsia="黑体"/>
          <w:sz w:val="32"/>
          <w:szCs w:val="32"/>
        </w:rPr>
      </w:pPr>
      <w:r>
        <w:rPr>
          <w:rFonts w:ascii="黑体" w:hAnsi="黑体" w:eastAsia="黑体" w:cs="黑体"/>
          <w:sz w:val="32"/>
          <w:szCs w:val="32"/>
        </w:rPr>
        <w:t>2019</w:t>
      </w:r>
      <w:r>
        <w:rPr>
          <w:rFonts w:hint="eastAsia" w:ascii="黑体" w:hAnsi="黑体" w:eastAsia="黑体" w:cs="黑体"/>
          <w:sz w:val="32"/>
          <w:szCs w:val="32"/>
        </w:rPr>
        <w:t>年工作回顾</w:t>
      </w:r>
    </w:p>
    <w:p>
      <w:pPr>
        <w:pStyle w:val="2"/>
        <w:snapToGrid w:val="0"/>
        <w:spacing w:after="0" w:line="360" w:lineRule="auto"/>
        <w:ind w:left="0" w:leftChars="0" w:firstLine="645"/>
        <w:outlineLvl w:val="0"/>
        <w:rPr>
          <w:rFonts w:ascii="仿宋_GB2312" w:eastAsia="仿宋_GB2312"/>
          <w:sz w:val="32"/>
          <w:szCs w:val="32"/>
        </w:rPr>
      </w:pPr>
      <w:r>
        <w:rPr>
          <w:rFonts w:ascii="仿宋_GB2312" w:eastAsia="仿宋_GB2312" w:cs="仿宋_GB2312"/>
          <w:sz w:val="32"/>
          <w:szCs w:val="32"/>
        </w:rPr>
        <w:t>2019</w:t>
      </w:r>
      <w:r>
        <w:rPr>
          <w:rFonts w:hint="eastAsia" w:ascii="仿宋_GB2312" w:eastAsia="仿宋_GB2312" w:cs="仿宋_GB2312"/>
          <w:sz w:val="32"/>
          <w:szCs w:val="32"/>
        </w:rPr>
        <w:t>年，我院</w:t>
      </w:r>
      <w:r>
        <w:rPr>
          <w:rFonts w:hint="eastAsia" w:eastAsia="仿宋_GB2312" w:cs="仿宋_GB2312"/>
          <w:sz w:val="32"/>
          <w:szCs w:val="32"/>
        </w:rPr>
        <w:t>认真落实</w:t>
      </w:r>
      <w:r>
        <w:rPr>
          <w:rFonts w:eastAsia="仿宋_GB2312"/>
          <w:sz w:val="32"/>
          <w:szCs w:val="32"/>
        </w:rPr>
        <w:t>“</w:t>
      </w:r>
      <w:r>
        <w:rPr>
          <w:rFonts w:hint="eastAsia" w:eastAsia="仿宋_GB2312" w:cs="仿宋_GB2312"/>
          <w:sz w:val="32"/>
          <w:szCs w:val="32"/>
        </w:rPr>
        <w:t>讲政治、顾大局、谋发展、重自强</w:t>
      </w:r>
      <w:r>
        <w:rPr>
          <w:rFonts w:eastAsia="仿宋_GB2312"/>
          <w:sz w:val="32"/>
          <w:szCs w:val="32"/>
        </w:rPr>
        <w:t>”</w:t>
      </w:r>
      <w:r>
        <w:rPr>
          <w:rFonts w:hint="eastAsia" w:eastAsia="仿宋_GB2312" w:cs="仿宋_GB2312"/>
          <w:sz w:val="32"/>
          <w:szCs w:val="32"/>
        </w:rPr>
        <w:t>的新时代检察工作总要求，</w:t>
      </w:r>
      <w:r>
        <w:rPr>
          <w:rFonts w:hint="eastAsia" w:ascii="仿宋_GB2312" w:hAnsi="黑体" w:eastAsia="仿宋_GB2312" w:cs="仿宋_GB2312"/>
          <w:sz w:val="32"/>
          <w:szCs w:val="32"/>
        </w:rPr>
        <w:t>紧紧围绕四会市委中心工作，</w:t>
      </w:r>
      <w:r>
        <w:rPr>
          <w:rFonts w:hint="eastAsia" w:ascii="仿宋_GB2312" w:eastAsia="仿宋_GB2312" w:cs="仿宋_GB2312"/>
          <w:sz w:val="32"/>
          <w:szCs w:val="32"/>
        </w:rPr>
        <w:t>持续推动各项检察工作取得新进展。</w:t>
      </w:r>
    </w:p>
    <w:p>
      <w:pPr>
        <w:widowControl/>
        <w:shd w:val="clear" w:color="auto" w:fill="FFFFFF"/>
        <w:jc w:val="left"/>
        <w:rPr>
          <w:rFonts w:ascii="微软雅黑" w:hAnsi="微软雅黑" w:eastAsia="微软雅黑"/>
          <w:kern w:val="0"/>
          <w:sz w:val="32"/>
          <w:szCs w:val="32"/>
        </w:rPr>
      </w:pPr>
      <w:r>
        <w:rPr>
          <w:rFonts w:hint="eastAsia" w:ascii="宋体" w:hAnsi="宋体" w:cs="宋体"/>
          <w:kern w:val="0"/>
          <w:sz w:val="32"/>
          <w:szCs w:val="32"/>
        </w:rPr>
        <w:t>　</w:t>
      </w:r>
      <w:r>
        <w:rPr>
          <w:rFonts w:hint="eastAsia" w:ascii="黑体" w:hAnsi="黑体" w:eastAsia="黑体" w:cs="黑体"/>
          <w:kern w:val="0"/>
          <w:sz w:val="32"/>
          <w:szCs w:val="32"/>
        </w:rPr>
        <w:t>一、坚持党的领导不动摇，确保检察事业发展正确方向</w:t>
      </w:r>
    </w:p>
    <w:p>
      <w:pPr>
        <w:widowControl/>
        <w:shd w:val="clear" w:color="auto" w:fill="FFFFFF"/>
        <w:jc w:val="left"/>
        <w:rPr>
          <w:rFonts w:ascii="仿宋" w:hAnsi="仿宋" w:eastAsia="仿宋"/>
          <w:kern w:val="0"/>
          <w:sz w:val="32"/>
          <w:szCs w:val="32"/>
        </w:rPr>
      </w:pPr>
      <w:r>
        <w:rPr>
          <w:rFonts w:hint="eastAsia" w:ascii="宋体" w:hAnsi="宋体" w:cs="宋体"/>
          <w:kern w:val="0"/>
          <w:sz w:val="24"/>
          <w:szCs w:val="24"/>
        </w:rPr>
        <w:t>　　</w:t>
      </w:r>
      <w:r>
        <w:rPr>
          <w:rFonts w:hint="eastAsia" w:ascii="仿宋" w:hAnsi="仿宋" w:eastAsia="仿宋" w:cs="仿宋"/>
          <w:kern w:val="0"/>
          <w:sz w:val="32"/>
          <w:szCs w:val="32"/>
        </w:rPr>
        <w:t>始终坚持党对检察工作的绝对领导，系统学习习近平新时代中国特色社会主义思想，</w:t>
      </w:r>
      <w:r>
        <w:rPr>
          <w:rFonts w:hint="eastAsia" w:ascii="仿宋" w:hAnsi="仿宋" w:eastAsia="仿宋" w:cs="仿宋"/>
          <w:sz w:val="32"/>
          <w:szCs w:val="32"/>
        </w:rPr>
        <w:t>深入学习贯彻习近平总书记关于全面依法治国的重要论述，学习贯彻党的十九届四中全会精神，</w:t>
      </w:r>
      <w:r>
        <w:rPr>
          <w:rFonts w:hint="eastAsia" w:ascii="仿宋" w:hAnsi="仿宋" w:eastAsia="仿宋" w:cs="仿宋"/>
          <w:kern w:val="0"/>
          <w:sz w:val="32"/>
          <w:szCs w:val="32"/>
        </w:rPr>
        <w:t>坚决做到政治绝对忠诚可靠，坚定不移走中国特色社会主义法治道路。</w:t>
      </w:r>
      <w:r>
        <w:rPr>
          <w:rFonts w:hint="eastAsia" w:ascii="仿宋" w:hAnsi="仿宋" w:eastAsia="仿宋" w:cs="仿宋"/>
          <w:sz w:val="32"/>
          <w:szCs w:val="32"/>
        </w:rPr>
        <w:t>扎实开展“不忘初心、牢记使命”主题教育，突出检察特色，丰富教育载体，引导检察干警进一步增强“四个意识”、坚定“四个自信”、做到“两个维护”。认真贯彻《中国共产党政法工作条例》，严格执行请示报告制度，</w:t>
      </w:r>
      <w:r>
        <w:rPr>
          <w:rFonts w:hint="eastAsia" w:ascii="仿宋" w:hAnsi="仿宋" w:eastAsia="仿宋" w:cs="仿宋"/>
          <w:kern w:val="0"/>
          <w:sz w:val="32"/>
          <w:szCs w:val="32"/>
        </w:rPr>
        <w:t>主动融入市委、市政府中心工作，</w:t>
      </w:r>
      <w:r>
        <w:rPr>
          <w:rFonts w:hint="eastAsia" w:ascii="仿宋" w:hAnsi="仿宋" w:eastAsia="仿宋" w:cs="仿宋"/>
          <w:sz w:val="32"/>
          <w:szCs w:val="32"/>
        </w:rPr>
        <w:t>确保党中央、省委、肇庆市委、四会市委和上级检察机关决策部署不折不扣得到落实。</w:t>
      </w:r>
    </w:p>
    <w:p>
      <w:pPr>
        <w:spacing w:line="360" w:lineRule="auto"/>
        <w:ind w:firstLine="645"/>
        <w:rPr>
          <w:rFonts w:ascii="黑体" w:hAnsi="黑体" w:eastAsia="黑体"/>
          <w:sz w:val="32"/>
          <w:szCs w:val="32"/>
        </w:rPr>
      </w:pPr>
      <w:r>
        <w:rPr>
          <w:rFonts w:hint="eastAsia" w:ascii="黑体" w:hAnsi="黑体" w:eastAsia="黑体" w:cs="黑体"/>
          <w:sz w:val="32"/>
          <w:szCs w:val="32"/>
        </w:rPr>
        <w:t>二、强化检察担当作为，主动服务大局民生</w:t>
      </w:r>
      <w:bookmarkStart w:id="0" w:name="_GoBack"/>
      <w:bookmarkEnd w:id="0"/>
    </w:p>
    <w:p>
      <w:pPr>
        <w:widowControl/>
        <w:shd w:val="clear" w:color="auto" w:fill="FFFFFF"/>
        <w:ind w:firstLine="640" w:firstLineChars="200"/>
        <w:jc w:val="left"/>
        <w:rPr>
          <w:rFonts w:ascii="仿宋" w:hAnsi="仿宋" w:eastAsia="仿宋"/>
          <w:kern w:val="0"/>
          <w:sz w:val="32"/>
          <w:szCs w:val="32"/>
        </w:rPr>
      </w:pPr>
      <w:r>
        <w:rPr>
          <w:rFonts w:hint="eastAsia" w:ascii="仿宋" w:hAnsi="仿宋" w:eastAsia="仿宋" w:cs="仿宋"/>
          <w:kern w:val="0"/>
          <w:sz w:val="32"/>
          <w:szCs w:val="32"/>
        </w:rPr>
        <w:t>把服务大局作为第一要务，与市委、市政府中心工作同频共振，积极履行检察职能，护航发展、保障民生。</w:t>
      </w:r>
    </w:p>
    <w:p>
      <w:pPr>
        <w:spacing w:line="360" w:lineRule="auto"/>
        <w:ind w:firstLine="645"/>
        <w:rPr>
          <w:rFonts w:ascii="楷体" w:hAnsi="楷体" w:eastAsia="楷体"/>
          <w:kern w:val="0"/>
          <w:sz w:val="32"/>
          <w:szCs w:val="32"/>
        </w:rPr>
      </w:pPr>
      <w:r>
        <w:rPr>
          <w:rFonts w:hint="eastAsia" w:ascii="楷体" w:hAnsi="楷体" w:eastAsia="楷体" w:cs="楷体"/>
          <w:sz w:val="32"/>
          <w:szCs w:val="32"/>
        </w:rPr>
        <w:t>（一）做好服务保障，</w:t>
      </w:r>
      <w:r>
        <w:rPr>
          <w:rFonts w:hint="eastAsia" w:ascii="楷体" w:hAnsi="楷体" w:eastAsia="楷体" w:cs="楷体"/>
          <w:kern w:val="0"/>
          <w:sz w:val="32"/>
          <w:szCs w:val="32"/>
        </w:rPr>
        <w:t>护航经济发展</w:t>
      </w:r>
    </w:p>
    <w:p>
      <w:pPr>
        <w:ind w:firstLine="640" w:firstLineChars="200"/>
        <w:rPr>
          <w:rFonts w:ascii="仿宋" w:hAnsi="仿宋" w:eastAsia="仿宋"/>
          <w:sz w:val="32"/>
          <w:szCs w:val="32"/>
        </w:rPr>
      </w:pPr>
      <w:r>
        <w:rPr>
          <w:rFonts w:hint="eastAsia" w:ascii="仿宋" w:hAnsi="仿宋" w:eastAsia="仿宋" w:cs="仿宋"/>
          <w:sz w:val="32"/>
          <w:szCs w:val="32"/>
        </w:rPr>
        <w:t>围绕防范化解金融风险，依法起诉集资诈骗、信用卡诈骗、非法经营、虚开增值税专用发票、非法吸收公众存款等破坏社会主义经济秩序犯罪</w:t>
      </w:r>
      <w:r>
        <w:rPr>
          <w:rFonts w:ascii="仿宋" w:hAnsi="仿宋" w:eastAsia="仿宋" w:cs="仿宋"/>
          <w:sz w:val="32"/>
          <w:szCs w:val="32"/>
        </w:rPr>
        <w:t>5</w:t>
      </w:r>
      <w:r>
        <w:rPr>
          <w:rFonts w:hint="eastAsia" w:ascii="仿宋" w:hAnsi="仿宋" w:eastAsia="仿宋" w:cs="仿宋"/>
          <w:sz w:val="32"/>
          <w:szCs w:val="32"/>
        </w:rPr>
        <w:t>件</w:t>
      </w:r>
      <w:r>
        <w:rPr>
          <w:rFonts w:ascii="仿宋" w:hAnsi="仿宋" w:eastAsia="仿宋" w:cs="仿宋"/>
          <w:sz w:val="32"/>
          <w:szCs w:val="32"/>
        </w:rPr>
        <w:t>11</w:t>
      </w:r>
      <w:r>
        <w:rPr>
          <w:rFonts w:hint="eastAsia" w:ascii="仿宋" w:hAnsi="仿宋" w:eastAsia="仿宋" w:cs="仿宋"/>
          <w:sz w:val="32"/>
          <w:szCs w:val="32"/>
        </w:rPr>
        <w:t>人，维护法治营商环境。与市工商联联合签订《关于建立健全检察机关与工商联沟通联系机制服务保障民营经济发展的实施意见》，建立沟通联系机制。通过举行“检察护航民企发展”主题检察开放日活动，举办民营企业家座谈会，走访行业协会、重点企业，开展送法进商会进企业</w:t>
      </w:r>
      <w:r>
        <w:rPr>
          <w:rFonts w:ascii="仿宋" w:hAnsi="仿宋" w:eastAsia="仿宋" w:cs="仿宋"/>
          <w:sz w:val="32"/>
          <w:szCs w:val="32"/>
        </w:rPr>
        <w:t>7</w:t>
      </w:r>
      <w:r>
        <w:rPr>
          <w:rFonts w:hint="eastAsia" w:ascii="仿宋" w:hAnsi="仿宋" w:eastAsia="仿宋" w:cs="仿宋"/>
          <w:sz w:val="32"/>
          <w:szCs w:val="32"/>
        </w:rPr>
        <w:t>场次，提供司法服务，帮助解决涉法问题，推动形成稳定公平透明、有序规范的营商环境。</w:t>
      </w:r>
    </w:p>
    <w:p>
      <w:pPr>
        <w:spacing w:line="360" w:lineRule="auto"/>
        <w:ind w:firstLine="630"/>
        <w:rPr>
          <w:rFonts w:eastAsia="楷体_GB2312"/>
          <w:sz w:val="32"/>
          <w:szCs w:val="32"/>
        </w:rPr>
      </w:pPr>
      <w:r>
        <w:rPr>
          <w:rFonts w:hint="eastAsia" w:ascii="楷体_GB2312" w:hAnsi="黑体" w:eastAsia="楷体_GB2312" w:cs="楷体_GB2312"/>
          <w:sz w:val="32"/>
          <w:szCs w:val="32"/>
        </w:rPr>
        <w:t>（二）</w:t>
      </w:r>
      <w:r>
        <w:rPr>
          <w:rFonts w:hint="eastAsia" w:eastAsia="楷体_GB2312" w:cs="楷体_GB2312"/>
          <w:sz w:val="32"/>
          <w:szCs w:val="32"/>
        </w:rPr>
        <w:t>加大司法保护，助力生态建设</w:t>
      </w:r>
    </w:p>
    <w:p>
      <w:pPr>
        <w:spacing w:line="360" w:lineRule="auto"/>
        <w:ind w:firstLine="640"/>
        <w:rPr>
          <w:rFonts w:eastAsia="仿宋_GB2312"/>
          <w:sz w:val="32"/>
          <w:szCs w:val="32"/>
        </w:rPr>
      </w:pPr>
      <w:r>
        <w:rPr>
          <w:rFonts w:hint="eastAsia" w:eastAsia="仿宋_GB2312" w:cs="仿宋_GB2312"/>
          <w:sz w:val="32"/>
          <w:szCs w:val="32"/>
        </w:rPr>
        <w:t>突出惩治破坏环境资源犯罪，起诉相关案件</w:t>
      </w:r>
      <w:r>
        <w:rPr>
          <w:rFonts w:eastAsia="仿宋_GB2312"/>
          <w:sz w:val="32"/>
          <w:szCs w:val="32"/>
        </w:rPr>
        <w:t>15</w:t>
      </w:r>
      <w:r>
        <w:rPr>
          <w:rFonts w:hint="eastAsia" w:eastAsia="仿宋_GB2312" w:cs="仿宋_GB2312"/>
          <w:sz w:val="32"/>
          <w:szCs w:val="32"/>
        </w:rPr>
        <w:t>件</w:t>
      </w:r>
      <w:r>
        <w:rPr>
          <w:rFonts w:eastAsia="仿宋_GB2312"/>
          <w:sz w:val="32"/>
          <w:szCs w:val="32"/>
        </w:rPr>
        <w:t>24</w:t>
      </w:r>
      <w:r>
        <w:rPr>
          <w:rFonts w:hint="eastAsia" w:eastAsia="仿宋_GB2312" w:cs="仿宋_GB2312"/>
          <w:sz w:val="32"/>
          <w:szCs w:val="32"/>
        </w:rPr>
        <w:t>人。</w:t>
      </w:r>
      <w:r>
        <w:rPr>
          <w:rFonts w:hint="eastAsia" w:ascii="仿宋_GB2312" w:hAnsi="仿宋_GB2312" w:eastAsia="仿宋_GB2312" w:cs="仿宋_GB2312"/>
          <w:sz w:val="32"/>
          <w:szCs w:val="32"/>
        </w:rPr>
        <w:t>与连山、怀集、广宁四地共同签署了《绥江流域生态环境和资源保护公益诉讼工作协作机制》文件，为保护绥江流域提供了指引。通过“两微一端”、检邮</w:t>
      </w:r>
      <w:r>
        <w:rPr>
          <w:rFonts w:hint="eastAsia" w:eastAsia="仿宋_GB2312" w:cs="仿宋_GB2312"/>
          <w:sz w:val="32"/>
          <w:szCs w:val="32"/>
        </w:rPr>
        <w:t>合作机制等渠道加大对生态环境和资源保护的法律法规的宣传力度，提高群众水环境保护意识，为更好开展绥江流域生态环境和资源保护公益诉讼工作提供良好舆论环境。</w:t>
      </w:r>
    </w:p>
    <w:p>
      <w:pPr>
        <w:spacing w:line="360" w:lineRule="auto"/>
        <w:ind w:firstLine="640"/>
        <w:rPr>
          <w:rFonts w:ascii="楷体_GB2312" w:eastAsia="楷体_GB2312"/>
          <w:sz w:val="32"/>
          <w:szCs w:val="32"/>
        </w:rPr>
      </w:pPr>
      <w:r>
        <w:rPr>
          <w:rFonts w:hint="eastAsia" w:ascii="楷体_GB2312" w:eastAsia="楷体_GB2312" w:cs="楷体_GB2312"/>
          <w:sz w:val="32"/>
          <w:szCs w:val="32"/>
        </w:rPr>
        <w:t>（三）强化特殊群体和困难群众权益保障</w:t>
      </w:r>
    </w:p>
    <w:p>
      <w:pPr>
        <w:spacing w:line="360" w:lineRule="auto"/>
        <w:ind w:firstLine="640"/>
        <w:rPr>
          <w:rFonts w:ascii="仿宋_GB2312" w:hAnsi="仿宋_GB2312" w:eastAsia="仿宋_GB2312"/>
          <w:sz w:val="32"/>
          <w:szCs w:val="32"/>
        </w:rPr>
      </w:pPr>
      <w:r>
        <w:rPr>
          <w:rFonts w:hint="eastAsia" w:eastAsia="仿宋_GB2312" w:cs="仿宋_GB2312"/>
          <w:sz w:val="32"/>
          <w:szCs w:val="32"/>
        </w:rPr>
        <w:t>着力保障脱贫攻坚，继续做好精准扶贫和新农村建设工作，投入扶贫及新农村建设资金</w:t>
      </w:r>
      <w:r>
        <w:rPr>
          <w:rFonts w:eastAsia="仿宋_GB2312"/>
          <w:sz w:val="32"/>
          <w:szCs w:val="32"/>
        </w:rPr>
        <w:t>8</w:t>
      </w:r>
      <w:r>
        <w:rPr>
          <w:rFonts w:hint="eastAsia" w:eastAsia="仿宋_GB2312" w:cs="仿宋_GB2312"/>
          <w:sz w:val="32"/>
          <w:szCs w:val="32"/>
        </w:rPr>
        <w:t>万多元。通过实地调研，协调完成竹尾岭村村道硬底化建设，以实际行动解决群众揪心事、烦心事。继续推行创文常态化和志愿服务活动，保障创文成果。将因案致贫的刑事被害人或其近亲属纳入司法救助范围，</w:t>
      </w:r>
      <w:r>
        <w:rPr>
          <w:rFonts w:hint="eastAsia" w:ascii="仿宋_GB2312" w:eastAsia="仿宋_GB2312" w:cs="仿宋_GB2312"/>
          <w:sz w:val="32"/>
          <w:szCs w:val="32"/>
        </w:rPr>
        <w:t>提供司法救助金</w:t>
      </w:r>
      <w:r>
        <w:rPr>
          <w:rFonts w:ascii="仿宋_GB2312" w:eastAsia="仿宋_GB2312" w:cs="仿宋_GB2312"/>
          <w:sz w:val="32"/>
          <w:szCs w:val="32"/>
        </w:rPr>
        <w:t>5</w:t>
      </w:r>
      <w:r>
        <w:rPr>
          <w:rFonts w:hint="eastAsia" w:ascii="仿宋_GB2312" w:eastAsia="仿宋_GB2312" w:cs="仿宋_GB2312"/>
          <w:sz w:val="32"/>
          <w:szCs w:val="32"/>
        </w:rPr>
        <w:t>万元。</w:t>
      </w:r>
      <w:r>
        <w:rPr>
          <w:rFonts w:hint="eastAsia" w:eastAsia="仿宋_GB2312" w:cs="仿宋_GB2312"/>
          <w:sz w:val="32"/>
          <w:szCs w:val="32"/>
        </w:rPr>
        <w:t>依法对故意伤害、强奸猥亵儿童等侵害未成年人犯罪批捕</w:t>
      </w:r>
      <w:r>
        <w:rPr>
          <w:rFonts w:eastAsia="仿宋_GB2312"/>
          <w:sz w:val="32"/>
          <w:szCs w:val="32"/>
        </w:rPr>
        <w:t>34</w:t>
      </w:r>
      <w:r>
        <w:rPr>
          <w:rFonts w:hint="eastAsia" w:eastAsia="仿宋_GB2312" w:cs="仿宋_GB2312"/>
          <w:sz w:val="32"/>
          <w:szCs w:val="32"/>
        </w:rPr>
        <w:t>人、起诉</w:t>
      </w:r>
      <w:r>
        <w:rPr>
          <w:rFonts w:eastAsia="仿宋_GB2312"/>
          <w:sz w:val="32"/>
          <w:szCs w:val="32"/>
        </w:rPr>
        <w:t>45</w:t>
      </w:r>
      <w:r>
        <w:rPr>
          <w:rFonts w:hint="eastAsia" w:eastAsia="仿宋_GB2312" w:cs="仿宋_GB2312"/>
          <w:sz w:val="32"/>
          <w:szCs w:val="32"/>
        </w:rPr>
        <w:t>人，</w:t>
      </w:r>
      <w:r>
        <w:rPr>
          <w:rFonts w:hint="eastAsia" w:ascii="仿宋_GB2312" w:hAnsi="仿宋_GB2312" w:eastAsia="仿宋_GB2312" w:cs="仿宋_GB2312"/>
          <w:sz w:val="32"/>
          <w:szCs w:val="32"/>
        </w:rPr>
        <w:t>附条件不起诉</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人。</w:t>
      </w:r>
      <w:r>
        <w:rPr>
          <w:rFonts w:hint="eastAsia" w:eastAsia="仿宋_GB2312" w:cs="仿宋_GB2312"/>
          <w:sz w:val="32"/>
          <w:szCs w:val="32"/>
        </w:rPr>
        <w:t>检察长兼任法治副校长，为中小学生讲授法治课，与市教育局共同落实最高检</w:t>
      </w:r>
      <w:r>
        <w:rPr>
          <w:rFonts w:eastAsia="仿宋_GB2312"/>
          <w:sz w:val="32"/>
          <w:szCs w:val="32"/>
        </w:rPr>
        <w:t>“</w:t>
      </w:r>
      <w:r>
        <w:rPr>
          <w:rFonts w:hint="eastAsia" w:eastAsia="仿宋_GB2312" w:cs="仿宋_GB2312"/>
          <w:sz w:val="32"/>
          <w:szCs w:val="32"/>
        </w:rPr>
        <w:t>一号检察建议</w:t>
      </w:r>
      <w:r>
        <w:rPr>
          <w:rFonts w:eastAsia="仿宋_GB2312"/>
          <w:sz w:val="32"/>
          <w:szCs w:val="32"/>
        </w:rPr>
        <w:t>”</w:t>
      </w:r>
      <w:r>
        <w:rPr>
          <w:rFonts w:hint="eastAsia" w:eastAsia="仿宋_GB2312" w:cs="仿宋_GB2312"/>
          <w:sz w:val="32"/>
          <w:szCs w:val="32"/>
        </w:rPr>
        <w:t>，</w:t>
      </w:r>
      <w:r>
        <w:rPr>
          <w:rFonts w:hint="eastAsia" w:ascii="仿宋_GB2312" w:hAnsi="仿宋_GB2312" w:eastAsia="仿宋_GB2312" w:cs="仿宋_GB2312"/>
          <w:sz w:val="32"/>
          <w:szCs w:val="32"/>
        </w:rPr>
        <w:t>在城乡中小学开展“法治进校园”活动</w:t>
      </w:r>
      <w:r>
        <w:rPr>
          <w:rFonts w:ascii="仿宋_GB2312" w:hAnsi="仿宋_GB2312" w:eastAsia="仿宋_GB2312" w:cs="仿宋_GB2312"/>
          <w:sz w:val="32"/>
          <w:szCs w:val="32"/>
        </w:rPr>
        <w:t>8</w:t>
      </w:r>
      <w:r>
        <w:rPr>
          <w:rFonts w:hint="eastAsia" w:ascii="仿宋_GB2312" w:hAnsi="仿宋_GB2312" w:eastAsia="仿宋_GB2312" w:cs="仿宋_GB2312"/>
          <w:sz w:val="32"/>
          <w:szCs w:val="32"/>
        </w:rPr>
        <w:t>场次，受教育学生达</w:t>
      </w:r>
      <w:r>
        <w:rPr>
          <w:rFonts w:ascii="仿宋_GB2312" w:hAnsi="仿宋_GB2312" w:eastAsia="仿宋_GB2312" w:cs="仿宋_GB2312"/>
          <w:sz w:val="32"/>
          <w:szCs w:val="32"/>
        </w:rPr>
        <w:t>1200</w:t>
      </w:r>
      <w:r>
        <w:rPr>
          <w:rFonts w:hint="eastAsia" w:ascii="仿宋_GB2312" w:hAnsi="仿宋_GB2312" w:eastAsia="仿宋_GB2312" w:cs="仿宋_GB2312"/>
          <w:sz w:val="32"/>
          <w:szCs w:val="32"/>
        </w:rPr>
        <w:t>多人次。并就预防青少年违法犯罪工作达成共识，形成合力，实现对全市中小学法治宣传全覆盖，实现检校互动；建立社会、检察院、学校、家庭“四位一体”的青少年违法犯罪预防体系，守护民族未来。我院未检办获得省委、省政府授予第五届广东省“人民满意的公务员集体”的称号。省委《南方》周刊以《预防犯罪，守护青春》为主题报道我院未成年人检察工作成效，广东电视台《广东视窗》栏目报道我院检察工作事迹。</w:t>
      </w:r>
    </w:p>
    <w:p>
      <w:pPr>
        <w:overflowPunct w:val="0"/>
        <w:adjustRightInd w:val="0"/>
        <w:snapToGrid w:val="0"/>
        <w:spacing w:line="580" w:lineRule="exact"/>
        <w:ind w:firstLine="640" w:firstLineChars="200"/>
        <w:rPr>
          <w:rFonts w:ascii="楷体_GB2312" w:eastAsia="楷体_GB2312"/>
          <w:sz w:val="32"/>
          <w:szCs w:val="32"/>
        </w:rPr>
      </w:pPr>
      <w:r>
        <w:rPr>
          <w:rFonts w:hint="eastAsia" w:ascii="楷体_GB2312" w:hAnsi="仿宋_GB2312" w:eastAsia="楷体_GB2312" w:cs="楷体_GB2312"/>
          <w:sz w:val="32"/>
          <w:szCs w:val="32"/>
        </w:rPr>
        <w:t>（四）</w:t>
      </w:r>
      <w:r>
        <w:rPr>
          <w:rFonts w:hint="eastAsia" w:ascii="楷体_GB2312" w:hAnsi="楷体_GB2312" w:eastAsia="楷体_GB2312" w:cs="楷体_GB2312"/>
          <w:sz w:val="32"/>
          <w:szCs w:val="32"/>
        </w:rPr>
        <w:t>发挥控申检察工作职能，</w:t>
      </w:r>
      <w:r>
        <w:rPr>
          <w:rFonts w:hint="eastAsia" w:ascii="楷体_GB2312" w:eastAsia="楷体_GB2312" w:cs="楷体_GB2312"/>
          <w:sz w:val="32"/>
          <w:szCs w:val="32"/>
        </w:rPr>
        <w:t>妥善化解社会矛盾</w:t>
      </w:r>
    </w:p>
    <w:p>
      <w:pPr>
        <w:overflowPunct w:val="0"/>
        <w:adjustRightInd w:val="0"/>
        <w:snapToGrid w:val="0"/>
        <w:spacing w:line="580" w:lineRule="exact"/>
        <w:ind w:firstLine="640" w:firstLineChars="200"/>
        <w:rPr>
          <w:rFonts w:eastAsia="仿宋_GB2312"/>
          <w:sz w:val="32"/>
          <w:szCs w:val="32"/>
        </w:rPr>
      </w:pPr>
      <w:r>
        <w:rPr>
          <w:rFonts w:hint="eastAsia" w:ascii="仿宋_GB2312" w:eastAsia="仿宋_GB2312" w:cs="仿宋_GB2312"/>
          <w:sz w:val="32"/>
          <w:szCs w:val="32"/>
        </w:rPr>
        <w:t>扎实做好控申检察，畅通为民服务渠道，</w:t>
      </w:r>
      <w:r>
        <w:rPr>
          <w:rFonts w:hint="eastAsia" w:eastAsia="仿宋_GB2312" w:cs="仿宋_GB2312"/>
          <w:sz w:val="32"/>
          <w:szCs w:val="32"/>
        </w:rPr>
        <w:t>办理各类控告申诉案件</w:t>
      </w:r>
      <w:r>
        <w:rPr>
          <w:rFonts w:eastAsia="仿宋_GB2312"/>
          <w:sz w:val="32"/>
          <w:szCs w:val="32"/>
        </w:rPr>
        <w:t>32</w:t>
      </w:r>
      <w:r>
        <w:rPr>
          <w:rFonts w:hint="eastAsia" w:eastAsia="仿宋_GB2312" w:cs="仿宋_GB2312"/>
          <w:sz w:val="32"/>
          <w:szCs w:val="32"/>
        </w:rPr>
        <w:t>件，</w:t>
      </w:r>
      <w:r>
        <w:rPr>
          <w:rFonts w:hint="eastAsia" w:ascii="仿宋_GB2312" w:hAnsi="仿宋_GB2312" w:eastAsia="仿宋_GB2312" w:cs="仿宋_GB2312"/>
          <w:sz w:val="32"/>
          <w:szCs w:val="32"/>
        </w:rPr>
        <w:t>接访</w:t>
      </w:r>
      <w:r>
        <w:rPr>
          <w:rFonts w:ascii="仿宋_GB2312" w:hAnsi="仿宋_GB2312" w:eastAsia="仿宋_GB2312" w:cs="仿宋_GB2312"/>
          <w:sz w:val="32"/>
          <w:szCs w:val="32"/>
        </w:rPr>
        <w:t>126</w:t>
      </w:r>
      <w:r>
        <w:rPr>
          <w:rFonts w:hint="eastAsia" w:ascii="仿宋_GB2312" w:hAnsi="仿宋_GB2312" w:eastAsia="仿宋_GB2312" w:cs="仿宋_GB2312"/>
          <w:sz w:val="32"/>
          <w:szCs w:val="32"/>
        </w:rPr>
        <w:t>人次，严格执行首办责任制，对待群众的来信来访，坚持做到文明接待、依法办理、加强督办、依法答复。全面</w:t>
      </w:r>
      <w:r>
        <w:rPr>
          <w:rFonts w:hint="eastAsia" w:eastAsia="仿宋_GB2312" w:cs="仿宋_GB2312"/>
          <w:sz w:val="32"/>
          <w:szCs w:val="32"/>
        </w:rPr>
        <w:t>落实</w:t>
      </w:r>
      <w:r>
        <w:rPr>
          <w:rFonts w:eastAsia="仿宋_GB2312"/>
          <w:sz w:val="32"/>
          <w:szCs w:val="32"/>
        </w:rPr>
        <w:t>7</w:t>
      </w:r>
      <w:r>
        <w:rPr>
          <w:rFonts w:hint="eastAsia" w:eastAsia="仿宋_GB2312" w:cs="仿宋_GB2312"/>
          <w:sz w:val="32"/>
          <w:szCs w:val="32"/>
        </w:rPr>
        <w:t>日内程序回复、</w:t>
      </w:r>
      <w:r>
        <w:rPr>
          <w:rFonts w:eastAsia="仿宋_GB2312"/>
          <w:sz w:val="32"/>
          <w:szCs w:val="32"/>
        </w:rPr>
        <w:t>3</w:t>
      </w:r>
      <w:r>
        <w:rPr>
          <w:rFonts w:hint="eastAsia" w:eastAsia="仿宋_GB2312" w:cs="仿宋_GB2312"/>
          <w:sz w:val="32"/>
          <w:szCs w:val="32"/>
        </w:rPr>
        <w:t>个月内办理过程或结果答复制度，重在释法说理、化解矛盾、案结事了，而不止于程序结案。全力做好中华人民共和国成立</w:t>
      </w:r>
      <w:r>
        <w:rPr>
          <w:rFonts w:eastAsia="仿宋_GB2312"/>
          <w:sz w:val="32"/>
          <w:szCs w:val="32"/>
        </w:rPr>
        <w:t>70</w:t>
      </w:r>
      <w:r>
        <w:rPr>
          <w:rFonts w:hint="eastAsia" w:eastAsia="仿宋_GB2312" w:cs="仿宋_GB2312"/>
          <w:sz w:val="32"/>
          <w:szCs w:val="32"/>
        </w:rPr>
        <w:t>周年庆典活动等敏感节点期间信访维稳工作，集中开展矛盾排查化解，严格落实值班制度、领导接访制度，维护社会大局稳定。</w:t>
      </w:r>
    </w:p>
    <w:p>
      <w:pPr>
        <w:ind w:firstLine="640" w:firstLineChars="200"/>
        <w:rPr>
          <w:rFonts w:ascii="黑体" w:hAnsi="黑体" w:eastAsia="黑体"/>
          <w:sz w:val="32"/>
          <w:szCs w:val="32"/>
        </w:rPr>
      </w:pPr>
      <w:r>
        <w:rPr>
          <w:rFonts w:hint="eastAsia" w:ascii="黑体" w:hAnsi="黑体" w:eastAsia="黑体" w:cs="黑体"/>
          <w:sz w:val="32"/>
          <w:szCs w:val="32"/>
        </w:rPr>
        <w:t>三、践行检察初心使命，维护社会和谐稳定</w:t>
      </w:r>
    </w:p>
    <w:p>
      <w:pPr>
        <w:overflowPunct w:val="0"/>
        <w:adjustRightInd w:val="0"/>
        <w:snapToGrid w:val="0"/>
        <w:spacing w:line="580" w:lineRule="exact"/>
        <w:ind w:firstLine="640" w:firstLineChars="200"/>
        <w:rPr>
          <w:rFonts w:ascii="仿宋" w:hAnsi="仿宋" w:eastAsia="仿宋"/>
          <w:sz w:val="32"/>
          <w:szCs w:val="32"/>
        </w:rPr>
      </w:pPr>
      <w:r>
        <w:rPr>
          <w:rFonts w:hint="eastAsia" w:ascii="仿宋" w:hAnsi="仿宋" w:eastAsia="仿宋" w:cs="仿宋"/>
          <w:sz w:val="32"/>
          <w:szCs w:val="32"/>
        </w:rPr>
        <w:t>忠实履行检察职责，打击刑事犯罪，为平安四会建设护航，积极融入共建共治共享的社会治理格局。</w:t>
      </w:r>
    </w:p>
    <w:p>
      <w:pPr>
        <w:spacing w:line="360" w:lineRule="auto"/>
        <w:ind w:firstLine="640" w:firstLineChars="200"/>
        <w:rPr>
          <w:rFonts w:ascii="楷体_GB2312" w:eastAsia="楷体_GB2312"/>
          <w:sz w:val="32"/>
          <w:szCs w:val="32"/>
        </w:rPr>
      </w:pPr>
      <w:r>
        <w:rPr>
          <w:rFonts w:hint="eastAsia" w:ascii="楷体_GB2312" w:eastAsia="楷体_GB2312" w:cs="楷体_GB2312"/>
          <w:sz w:val="32"/>
          <w:szCs w:val="32"/>
        </w:rPr>
        <w:t>（一）严厉打击各类刑事犯罪</w:t>
      </w:r>
    </w:p>
    <w:p>
      <w:pPr>
        <w:overflowPunct w:val="0"/>
        <w:adjustRightInd w:val="0"/>
        <w:snapToGrid w:val="0"/>
        <w:spacing w:line="580" w:lineRule="exact"/>
        <w:ind w:firstLine="640" w:firstLineChars="200"/>
        <w:rPr>
          <w:rFonts w:eastAsia="黑体"/>
          <w:sz w:val="32"/>
          <w:szCs w:val="32"/>
        </w:rPr>
      </w:pPr>
      <w:r>
        <w:rPr>
          <w:rFonts w:hint="eastAsia" w:eastAsia="仿宋_GB2312" w:cs="仿宋_GB2312"/>
          <w:kern w:val="0"/>
          <w:sz w:val="32"/>
          <w:szCs w:val="32"/>
        </w:rPr>
        <w:t>全面推行刑事案件</w:t>
      </w:r>
      <w:r>
        <w:rPr>
          <w:rFonts w:eastAsia="仿宋_GB2312"/>
          <w:kern w:val="0"/>
          <w:sz w:val="32"/>
          <w:szCs w:val="32"/>
        </w:rPr>
        <w:t>“</w:t>
      </w:r>
      <w:r>
        <w:rPr>
          <w:rFonts w:hint="eastAsia" w:eastAsia="仿宋_GB2312" w:cs="仿宋_GB2312"/>
          <w:kern w:val="0"/>
          <w:sz w:val="32"/>
          <w:szCs w:val="32"/>
        </w:rPr>
        <w:t>捕诉一体</w:t>
      </w:r>
      <w:r>
        <w:rPr>
          <w:rFonts w:eastAsia="仿宋_GB2312"/>
          <w:kern w:val="0"/>
          <w:sz w:val="32"/>
          <w:szCs w:val="32"/>
        </w:rPr>
        <w:t>”</w:t>
      </w:r>
      <w:r>
        <w:rPr>
          <w:rFonts w:hint="eastAsia" w:eastAsia="仿宋_GB2312" w:cs="仿宋_GB2312"/>
          <w:kern w:val="0"/>
          <w:sz w:val="32"/>
          <w:szCs w:val="32"/>
        </w:rPr>
        <w:t>办案工作机制，切实履行检察官指控证明犯罪主导责任，提高工作效率和办案质量。</w:t>
      </w:r>
      <w:r>
        <w:rPr>
          <w:rFonts w:hint="eastAsia" w:ascii="仿宋_GB2312" w:hAnsi="仿宋_GB2312" w:eastAsia="仿宋_GB2312" w:cs="仿宋_GB2312"/>
          <w:sz w:val="32"/>
          <w:szCs w:val="32"/>
        </w:rPr>
        <w:t>一年来共受理提请批捕案件</w:t>
      </w:r>
      <w:r>
        <w:rPr>
          <w:rFonts w:ascii="仿宋_GB2312" w:hAnsi="仿宋_GB2312" w:eastAsia="仿宋_GB2312" w:cs="仿宋_GB2312"/>
          <w:sz w:val="32"/>
          <w:szCs w:val="32"/>
        </w:rPr>
        <w:t>325</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458</w:t>
      </w:r>
      <w:r>
        <w:rPr>
          <w:rFonts w:hint="eastAsia" w:ascii="仿宋_GB2312" w:hAnsi="仿宋_GB2312" w:eastAsia="仿宋_GB2312" w:cs="仿宋_GB2312"/>
          <w:sz w:val="32"/>
          <w:szCs w:val="32"/>
        </w:rPr>
        <w:t>人，经审查批准逮捕</w:t>
      </w:r>
      <w:r>
        <w:rPr>
          <w:rFonts w:ascii="仿宋_GB2312" w:hAnsi="仿宋_GB2312" w:eastAsia="仿宋_GB2312" w:cs="仿宋_GB2312"/>
          <w:sz w:val="32"/>
          <w:szCs w:val="32"/>
        </w:rPr>
        <w:t>265</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360</w:t>
      </w:r>
      <w:r>
        <w:rPr>
          <w:rFonts w:hint="eastAsia" w:ascii="仿宋_GB2312" w:hAnsi="仿宋_GB2312" w:eastAsia="仿宋_GB2312" w:cs="仿宋_GB2312"/>
          <w:sz w:val="32"/>
          <w:szCs w:val="32"/>
        </w:rPr>
        <w:t>人。其中我院提前介入</w:t>
      </w:r>
      <w:r>
        <w:rPr>
          <w:rFonts w:hint="eastAsia" w:eastAsia="仿宋_GB2312" w:cs="仿宋_GB2312"/>
          <w:sz w:val="32"/>
          <w:szCs w:val="32"/>
        </w:rPr>
        <w:t>的</w:t>
      </w:r>
      <w:r>
        <w:rPr>
          <w:rFonts w:eastAsia="仿宋_GB2312"/>
          <w:sz w:val="32"/>
          <w:szCs w:val="32"/>
        </w:rPr>
        <w:t>“</w:t>
      </w:r>
      <w:r>
        <w:rPr>
          <w:rFonts w:hint="eastAsia" w:eastAsia="仿宋_GB2312" w:cs="仿宋_GB2312"/>
          <w:sz w:val="32"/>
          <w:szCs w:val="32"/>
        </w:rPr>
        <w:t>粤融贷</w:t>
      </w:r>
      <w:r>
        <w:rPr>
          <w:rFonts w:eastAsia="仿宋_GB2312"/>
          <w:sz w:val="32"/>
          <w:szCs w:val="32"/>
        </w:rPr>
        <w:t>”P2P</w:t>
      </w:r>
      <w:r>
        <w:rPr>
          <w:rFonts w:hint="eastAsia" w:eastAsia="仿宋_GB2312" w:cs="仿宋_GB2312"/>
          <w:sz w:val="32"/>
          <w:szCs w:val="32"/>
        </w:rPr>
        <w:t>平台集资案，该案涉案人员达</w:t>
      </w:r>
      <w:r>
        <w:rPr>
          <w:rFonts w:eastAsia="仿宋_GB2312"/>
          <w:sz w:val="32"/>
          <w:szCs w:val="32"/>
        </w:rPr>
        <w:t>900</w:t>
      </w:r>
      <w:r>
        <w:rPr>
          <w:rFonts w:hint="eastAsia" w:eastAsia="仿宋_GB2312" w:cs="仿宋_GB2312"/>
          <w:sz w:val="32"/>
          <w:szCs w:val="32"/>
        </w:rPr>
        <w:t>多人，案值超过</w:t>
      </w:r>
      <w:r>
        <w:rPr>
          <w:rFonts w:eastAsia="仿宋_GB2312"/>
          <w:sz w:val="32"/>
          <w:szCs w:val="32"/>
        </w:rPr>
        <w:t>1</w:t>
      </w:r>
      <w:r>
        <w:rPr>
          <w:rFonts w:hint="eastAsia" w:eastAsia="仿宋_GB2312" w:cs="仿宋_GB2312"/>
          <w:sz w:val="32"/>
          <w:szCs w:val="32"/>
        </w:rPr>
        <w:t>亿元，社会影响较大，通过提出检察意见引导侦查取证，确保了办案效果</w:t>
      </w:r>
      <w:r>
        <w:rPr>
          <w:rFonts w:hint="eastAsia" w:ascii="仿宋_GB2312" w:hAnsi="仿宋_GB2312" w:eastAsia="仿宋_GB2312" w:cs="仿宋_GB2312"/>
          <w:sz w:val="32"/>
          <w:szCs w:val="32"/>
        </w:rPr>
        <w:t>。受理移送审查起诉案件</w:t>
      </w:r>
      <w:r>
        <w:rPr>
          <w:rFonts w:ascii="仿宋_GB2312" w:hAnsi="仿宋_GB2312" w:eastAsia="仿宋_GB2312" w:cs="仿宋_GB2312"/>
          <w:sz w:val="32"/>
          <w:szCs w:val="32"/>
        </w:rPr>
        <w:t>407</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602</w:t>
      </w:r>
      <w:r>
        <w:rPr>
          <w:rFonts w:hint="eastAsia" w:ascii="仿宋_GB2312" w:hAnsi="仿宋_GB2312" w:eastAsia="仿宋_GB2312" w:cs="仿宋_GB2312"/>
          <w:sz w:val="32"/>
          <w:szCs w:val="32"/>
        </w:rPr>
        <w:t>人，经审查，提起公诉</w:t>
      </w:r>
      <w:r>
        <w:rPr>
          <w:rFonts w:ascii="仿宋_GB2312" w:hAnsi="仿宋_GB2312" w:eastAsia="仿宋_GB2312" w:cs="仿宋_GB2312"/>
          <w:sz w:val="32"/>
          <w:szCs w:val="32"/>
        </w:rPr>
        <w:t>388</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578</w:t>
      </w:r>
      <w:r>
        <w:rPr>
          <w:rFonts w:hint="eastAsia" w:ascii="仿宋_GB2312" w:hAnsi="仿宋_GB2312" w:eastAsia="仿宋_GB2312" w:cs="仿宋_GB2312"/>
          <w:sz w:val="32"/>
          <w:szCs w:val="32"/>
        </w:rPr>
        <w:t>人。所起诉案件均作有罪判决，为维护我市的社会治安稳定发挥了重要作用。</w:t>
      </w:r>
    </w:p>
    <w:p>
      <w:pPr>
        <w:spacing w:line="360" w:lineRule="auto"/>
        <w:ind w:firstLine="640" w:firstLineChars="200"/>
        <w:rPr>
          <w:rFonts w:ascii="楷体" w:hAnsi="楷体" w:eastAsia="楷体"/>
          <w:kern w:val="0"/>
          <w:sz w:val="32"/>
          <w:szCs w:val="32"/>
        </w:rPr>
      </w:pPr>
      <w:r>
        <w:rPr>
          <w:rFonts w:hint="eastAsia" w:ascii="楷体" w:hAnsi="楷体" w:eastAsia="楷体" w:cs="楷体"/>
          <w:sz w:val="32"/>
          <w:szCs w:val="32"/>
        </w:rPr>
        <w:t>（二）</w:t>
      </w:r>
      <w:r>
        <w:rPr>
          <w:rFonts w:hint="eastAsia" w:ascii="楷体" w:hAnsi="楷体" w:eastAsia="楷体" w:cs="楷体"/>
          <w:kern w:val="0"/>
          <w:sz w:val="32"/>
          <w:szCs w:val="32"/>
        </w:rPr>
        <w:t>纵深推进扫黑除恶专项斗争</w:t>
      </w:r>
    </w:p>
    <w:p>
      <w:pPr>
        <w:wordWrap w:val="0"/>
        <w:spacing w:line="360" w:lineRule="auto"/>
        <w:ind w:firstLine="640"/>
        <w:rPr>
          <w:rFonts w:ascii="仿宋" w:hAnsi="仿宋" w:eastAsia="仿宋"/>
          <w:sz w:val="32"/>
          <w:szCs w:val="32"/>
        </w:rPr>
      </w:pPr>
      <w:r>
        <w:rPr>
          <w:rFonts w:hint="eastAsia" w:ascii="仿宋" w:hAnsi="仿宋" w:eastAsia="仿宋" w:cs="仿宋"/>
          <w:kern w:val="0"/>
          <w:sz w:val="32"/>
          <w:szCs w:val="32"/>
        </w:rPr>
        <w:t>切实提高政治站位，坚持“是黑恶犯罪一个不放过，不是黑恶犯罪一个不凑数”的原则，实现精准打击。</w:t>
      </w:r>
      <w:r>
        <w:rPr>
          <w:rFonts w:hint="eastAsia" w:ascii="仿宋" w:hAnsi="仿宋" w:eastAsia="仿宋" w:cs="仿宋"/>
          <w:sz w:val="32"/>
          <w:szCs w:val="32"/>
        </w:rPr>
        <w:t>一年来，受理公安机关提请批捕涉黑恶案件</w:t>
      </w:r>
      <w:r>
        <w:rPr>
          <w:rFonts w:ascii="仿宋" w:hAnsi="仿宋" w:eastAsia="仿宋" w:cs="仿宋"/>
          <w:sz w:val="32"/>
          <w:szCs w:val="32"/>
        </w:rPr>
        <w:t>23</w:t>
      </w:r>
      <w:r>
        <w:rPr>
          <w:rFonts w:hint="eastAsia" w:ascii="仿宋" w:hAnsi="仿宋" w:eastAsia="仿宋" w:cs="仿宋"/>
          <w:sz w:val="32"/>
          <w:szCs w:val="32"/>
        </w:rPr>
        <w:t>件</w:t>
      </w:r>
      <w:r>
        <w:rPr>
          <w:rFonts w:ascii="仿宋" w:hAnsi="仿宋" w:eastAsia="仿宋" w:cs="仿宋"/>
          <w:sz w:val="32"/>
          <w:szCs w:val="32"/>
        </w:rPr>
        <w:t>52</w:t>
      </w:r>
      <w:r>
        <w:rPr>
          <w:rFonts w:hint="eastAsia" w:ascii="仿宋" w:hAnsi="仿宋" w:eastAsia="仿宋" w:cs="仿宋"/>
          <w:sz w:val="32"/>
          <w:szCs w:val="32"/>
        </w:rPr>
        <w:t>人；受理公安机关移送审查起诉涉黑恶案件</w:t>
      </w:r>
      <w:r>
        <w:rPr>
          <w:rFonts w:ascii="仿宋" w:hAnsi="仿宋" w:eastAsia="仿宋" w:cs="仿宋"/>
          <w:sz w:val="32"/>
          <w:szCs w:val="32"/>
        </w:rPr>
        <w:t>21</w:t>
      </w:r>
      <w:r>
        <w:rPr>
          <w:rFonts w:hint="eastAsia" w:ascii="仿宋" w:hAnsi="仿宋" w:eastAsia="仿宋" w:cs="仿宋"/>
          <w:sz w:val="32"/>
          <w:szCs w:val="32"/>
        </w:rPr>
        <w:t>件</w:t>
      </w:r>
      <w:r>
        <w:rPr>
          <w:rFonts w:ascii="仿宋" w:hAnsi="仿宋" w:eastAsia="仿宋" w:cs="仿宋"/>
          <w:sz w:val="32"/>
          <w:szCs w:val="32"/>
        </w:rPr>
        <w:t>55</w:t>
      </w:r>
      <w:r>
        <w:rPr>
          <w:rFonts w:hint="eastAsia" w:ascii="仿宋" w:hAnsi="仿宋" w:eastAsia="仿宋" w:cs="仿宋"/>
          <w:sz w:val="32"/>
          <w:szCs w:val="32"/>
        </w:rPr>
        <w:t>人，均按程序办理完结。</w:t>
      </w:r>
      <w:r>
        <w:rPr>
          <w:rFonts w:hint="eastAsia" w:ascii="仿宋_GB2312" w:hAnsi="仿宋_GB2312" w:eastAsia="仿宋_GB2312" w:cs="仿宋_GB2312"/>
          <w:sz w:val="32"/>
          <w:szCs w:val="32"/>
        </w:rPr>
        <w:t>对涉黑恶案件主动提前介入</w:t>
      </w:r>
      <w:r>
        <w:rPr>
          <w:rFonts w:ascii="仿宋_GB2312" w:hAnsi="仿宋_GB2312" w:eastAsia="仿宋_GB2312" w:cs="仿宋_GB2312"/>
          <w:sz w:val="32"/>
          <w:szCs w:val="32"/>
        </w:rPr>
        <w:t>60</w:t>
      </w:r>
      <w:r>
        <w:rPr>
          <w:rFonts w:hint="eastAsia" w:ascii="仿宋_GB2312" w:hAnsi="仿宋_GB2312" w:eastAsia="仿宋_GB2312" w:cs="仿宋_GB2312"/>
          <w:sz w:val="32"/>
          <w:szCs w:val="32"/>
        </w:rPr>
        <w:t>人次，引导侦查取证。</w:t>
      </w:r>
      <w:r>
        <w:rPr>
          <w:rFonts w:hint="eastAsia" w:eastAsia="仿宋_GB2312" w:cs="仿宋_GB2312"/>
          <w:sz w:val="32"/>
          <w:szCs w:val="32"/>
        </w:rPr>
        <w:t>对黑恶势力容易滋生蔓延的重点行业和领域，加大线索排查、乱象整治、以案释法等工作力度，做到以案促治、以案促建。</w:t>
      </w:r>
      <w:r>
        <w:rPr>
          <w:rFonts w:hint="eastAsia" w:ascii="仿宋" w:hAnsi="仿宋" w:eastAsia="仿宋" w:cs="仿宋"/>
          <w:sz w:val="32"/>
          <w:szCs w:val="32"/>
        </w:rPr>
        <w:t>加</w:t>
      </w:r>
      <w:r>
        <w:rPr>
          <w:rFonts w:hint="eastAsia" w:ascii="仿宋_GB2312" w:hAnsi="仿宋_GB2312" w:eastAsia="仿宋_GB2312" w:cs="仿宋_GB2312"/>
          <w:sz w:val="32"/>
          <w:szCs w:val="32"/>
        </w:rPr>
        <w:t>强扫黑除恶专项斗争宣传工作，提高广大群众积极参与扫黑除恶专项斗争活动的认识与参与度，营造良好的社会氛围。</w:t>
      </w:r>
    </w:p>
    <w:p>
      <w:pPr>
        <w:wordWrap w:val="0"/>
        <w:spacing w:line="360" w:lineRule="auto"/>
        <w:ind w:firstLine="640"/>
        <w:rPr>
          <w:rFonts w:ascii="楷体_GB2312" w:hAnsi="楷体_GB2312" w:eastAsia="楷体_GB2312"/>
          <w:sz w:val="32"/>
          <w:szCs w:val="32"/>
        </w:rPr>
      </w:pPr>
      <w:r>
        <w:rPr>
          <w:rFonts w:hint="eastAsia" w:ascii="楷体_GB2312" w:hAnsi="楷体_GB2312" w:eastAsia="楷体_GB2312" w:cs="楷体_GB2312"/>
          <w:sz w:val="32"/>
          <w:szCs w:val="32"/>
        </w:rPr>
        <w:t>（三）加强惩治腐败力度</w:t>
      </w:r>
    </w:p>
    <w:p>
      <w:pPr>
        <w:wordWrap w:val="0"/>
        <w:overflowPunct w:val="0"/>
        <w:snapToGrid w:val="0"/>
        <w:spacing w:line="360" w:lineRule="auto"/>
        <w:ind w:firstLine="640"/>
        <w:rPr>
          <w:rFonts w:ascii="仿宋_GB2312" w:hAnsi="仿宋_GB2312" w:eastAsia="仿宋_GB2312"/>
          <w:sz w:val="32"/>
          <w:szCs w:val="32"/>
        </w:rPr>
      </w:pPr>
      <w:r>
        <w:rPr>
          <w:rFonts w:hint="eastAsia" w:ascii="仿宋_GB2312" w:hAnsi="仿宋_GB2312" w:eastAsia="仿宋_GB2312" w:cs="仿宋_GB2312"/>
          <w:sz w:val="32"/>
          <w:szCs w:val="32"/>
        </w:rPr>
        <w:t>建立和完善检察机关与监察委协调衔接机制，依法办理职务犯罪案件，继续在反腐败斗争中发挥重要职能作用。一年来共受理监察委移送刑事案件</w:t>
      </w:r>
      <w:r>
        <w:rPr>
          <w:rFonts w:ascii="仿宋_GB2312" w:hAnsi="仿宋_GB2312" w:eastAsia="仿宋_GB2312" w:cs="仿宋_GB2312"/>
          <w:sz w:val="32"/>
          <w:szCs w:val="32"/>
        </w:rPr>
        <w:t>8</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11</w:t>
      </w:r>
      <w:r>
        <w:rPr>
          <w:rFonts w:hint="eastAsia" w:ascii="仿宋_GB2312" w:hAnsi="仿宋_GB2312" w:eastAsia="仿宋_GB2312" w:cs="仿宋_GB2312"/>
          <w:sz w:val="32"/>
          <w:szCs w:val="32"/>
        </w:rPr>
        <w:t>人，受邀提前介入</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人，提起公诉</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人，改变管辖</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人。通过办案，为国家追回赃款</w:t>
      </w:r>
      <w:r>
        <w:rPr>
          <w:rFonts w:ascii="仿宋_GB2312" w:hAnsi="仿宋_GB2312" w:eastAsia="仿宋_GB2312" w:cs="仿宋_GB2312"/>
          <w:sz w:val="32"/>
          <w:szCs w:val="32"/>
        </w:rPr>
        <w:t>188</w:t>
      </w:r>
      <w:r>
        <w:rPr>
          <w:rFonts w:hint="eastAsia" w:ascii="仿宋_GB2312" w:hAnsi="仿宋_GB2312" w:eastAsia="仿宋_GB2312" w:cs="仿宋_GB2312"/>
          <w:sz w:val="32"/>
          <w:szCs w:val="32"/>
        </w:rPr>
        <w:t>万多元，有力地打击了职务犯罪的势头。</w:t>
      </w:r>
    </w:p>
    <w:p>
      <w:pPr>
        <w:adjustRightInd w:val="0"/>
        <w:snapToGrid w:val="0"/>
        <w:spacing w:line="360" w:lineRule="auto"/>
        <w:ind w:firstLine="640" w:firstLineChars="200"/>
        <w:rPr>
          <w:rFonts w:ascii="黑体" w:hAnsi="黑体" w:eastAsia="黑体"/>
          <w:kern w:val="0"/>
          <w:sz w:val="32"/>
          <w:szCs w:val="32"/>
        </w:rPr>
      </w:pPr>
      <w:r>
        <w:rPr>
          <w:rFonts w:hint="eastAsia" w:ascii="黑体" w:hAnsi="黑体" w:eastAsia="黑体" w:cs="黑体"/>
          <w:sz w:val="32"/>
          <w:szCs w:val="32"/>
        </w:rPr>
        <w:t>四、</w:t>
      </w:r>
      <w:r>
        <w:rPr>
          <w:rFonts w:hint="eastAsia" w:ascii="黑体" w:hAnsi="黑体" w:eastAsia="黑体" w:cs="黑体"/>
          <w:kern w:val="0"/>
          <w:sz w:val="32"/>
          <w:szCs w:val="32"/>
        </w:rPr>
        <w:t>开拓创新谋发展，着力构建法律监督新体系</w:t>
      </w:r>
    </w:p>
    <w:p>
      <w:pPr>
        <w:adjustRightInd w:val="0"/>
        <w:snapToGrid w:val="0"/>
        <w:spacing w:line="360" w:lineRule="auto"/>
        <w:ind w:firstLine="640" w:firstLineChars="200"/>
        <w:rPr>
          <w:rFonts w:ascii="仿宋" w:hAnsi="仿宋" w:eastAsia="仿宋"/>
          <w:kern w:val="0"/>
          <w:sz w:val="32"/>
          <w:szCs w:val="32"/>
        </w:rPr>
      </w:pPr>
      <w:r>
        <w:rPr>
          <w:rFonts w:hint="eastAsia" w:ascii="仿宋" w:hAnsi="仿宋" w:eastAsia="仿宋" w:cs="仿宋"/>
          <w:kern w:val="0"/>
          <w:sz w:val="32"/>
          <w:szCs w:val="32"/>
        </w:rPr>
        <w:t>面对检察职能重大调整的新形势、新任务，将“检察机关是国家法律监督机关”的宪法定位贯穿于工作各个环节，在刑事、民事、行政、公益诉讼法律监督上全面发力，拓展监督领域、强化监督刚性，着力构建法律监督新体系。</w:t>
      </w:r>
    </w:p>
    <w:p>
      <w:pPr>
        <w:adjustRightInd w:val="0"/>
        <w:snapToGrid w:val="0"/>
        <w:spacing w:line="360" w:lineRule="auto"/>
        <w:ind w:firstLine="645"/>
        <w:rPr>
          <w:rFonts w:ascii="楷体_GB2312" w:eastAsia="楷体_GB2312"/>
          <w:sz w:val="32"/>
          <w:szCs w:val="32"/>
        </w:rPr>
      </w:pPr>
      <w:r>
        <w:rPr>
          <w:rFonts w:hint="eastAsia" w:ascii="楷体_GB2312" w:eastAsia="楷体_GB2312" w:cs="楷体_GB2312"/>
          <w:sz w:val="32"/>
          <w:szCs w:val="32"/>
        </w:rPr>
        <w:t>（一）</w:t>
      </w:r>
      <w:r>
        <w:rPr>
          <w:rFonts w:hint="eastAsia" w:ascii="楷体_GB2312" w:eastAsia="楷体_GB2312" w:cs="楷体_GB2312"/>
          <w:kern w:val="0"/>
          <w:sz w:val="32"/>
          <w:szCs w:val="32"/>
        </w:rPr>
        <w:t>刑事诉讼和执行监</w:t>
      </w:r>
      <w:r>
        <w:rPr>
          <w:rFonts w:hint="eastAsia" w:ascii="楷体_GB2312" w:eastAsia="楷体_GB2312" w:cs="楷体_GB2312"/>
          <w:sz w:val="32"/>
          <w:szCs w:val="32"/>
        </w:rPr>
        <w:t>督迈上新台阶</w:t>
      </w:r>
    </w:p>
    <w:p>
      <w:pPr>
        <w:wordWrap w:val="0"/>
        <w:spacing w:line="360" w:lineRule="auto"/>
        <w:ind w:firstLine="640"/>
        <w:rPr>
          <w:rFonts w:eastAsia="仿宋_GB2312"/>
          <w:sz w:val="32"/>
          <w:szCs w:val="32"/>
        </w:rPr>
      </w:pPr>
      <w:r>
        <w:rPr>
          <w:rFonts w:hint="eastAsia" w:eastAsia="仿宋_GB2312" w:cs="仿宋_GB2312"/>
          <w:sz w:val="32"/>
          <w:szCs w:val="32"/>
        </w:rPr>
        <w:t>深化对侦查机关刑事侦查活动监督，</w:t>
      </w:r>
      <w:r>
        <w:rPr>
          <w:rFonts w:hint="eastAsia" w:ascii="仿宋_GB2312" w:hAnsi="仿宋_GB2312" w:eastAsia="仿宋_GB2312" w:cs="仿宋_GB2312"/>
          <w:sz w:val="32"/>
          <w:szCs w:val="32"/>
        </w:rPr>
        <w:t>准确把握批捕、起诉条件，确保案件质量。对审查发现不构成犯罪或事实不清、证据不足的，情节轻微、无逮捕必要的，不批准逮捕</w:t>
      </w:r>
      <w:r>
        <w:rPr>
          <w:rFonts w:ascii="仿宋_GB2312" w:hAnsi="仿宋_GB2312" w:eastAsia="仿宋_GB2312" w:cs="仿宋_GB2312"/>
          <w:sz w:val="32"/>
          <w:szCs w:val="32"/>
        </w:rPr>
        <w:t>91</w:t>
      </w:r>
      <w:r>
        <w:rPr>
          <w:rFonts w:hint="eastAsia" w:ascii="仿宋_GB2312" w:hAnsi="仿宋_GB2312" w:eastAsia="仿宋_GB2312" w:cs="仿宋_GB2312"/>
          <w:sz w:val="32"/>
          <w:szCs w:val="32"/>
        </w:rPr>
        <w:t>人，不起诉</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人，提前介入</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件，移送他院管辖</w:t>
      </w:r>
      <w:r>
        <w:rPr>
          <w:rFonts w:ascii="仿宋_GB2312" w:hAnsi="仿宋_GB2312" w:eastAsia="仿宋_GB2312" w:cs="仿宋_GB2312"/>
          <w:sz w:val="32"/>
          <w:szCs w:val="32"/>
        </w:rPr>
        <w:t>13</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24</w:t>
      </w:r>
      <w:r>
        <w:rPr>
          <w:rFonts w:hint="eastAsia" w:ascii="仿宋_GB2312" w:hAnsi="仿宋_GB2312" w:eastAsia="仿宋_GB2312" w:cs="仿宋_GB2312"/>
          <w:sz w:val="32"/>
          <w:szCs w:val="32"/>
        </w:rPr>
        <w:t>人，提出量刑建议</w:t>
      </w:r>
      <w:r>
        <w:rPr>
          <w:rFonts w:ascii="仿宋_GB2312" w:hAnsi="仿宋_GB2312" w:eastAsia="仿宋_GB2312" w:cs="仿宋_GB2312"/>
          <w:sz w:val="32"/>
          <w:szCs w:val="32"/>
        </w:rPr>
        <w:t>217</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297</w:t>
      </w:r>
      <w:r>
        <w:rPr>
          <w:rFonts w:hint="eastAsia" w:ascii="仿宋_GB2312" w:hAnsi="仿宋_GB2312" w:eastAsia="仿宋_GB2312" w:cs="仿宋_GB2312"/>
          <w:sz w:val="32"/>
          <w:szCs w:val="32"/>
        </w:rPr>
        <w:t>人，采纳率</w:t>
      </w:r>
      <w:r>
        <w:rPr>
          <w:rFonts w:ascii="仿宋_GB2312" w:hAnsi="仿宋_GB2312" w:eastAsia="仿宋_GB2312" w:cs="仿宋_GB2312"/>
          <w:sz w:val="32"/>
          <w:szCs w:val="32"/>
        </w:rPr>
        <w:t>85</w:t>
      </w:r>
      <w:r>
        <w:rPr>
          <w:rFonts w:hint="eastAsia" w:ascii="仿宋_GB2312" w:hAnsi="仿宋_GB2312" w:eastAsia="仿宋_GB2312" w:cs="仿宋_GB2312"/>
          <w:sz w:val="32"/>
          <w:szCs w:val="32"/>
        </w:rPr>
        <w:t>％以上。对认为判决确有错误的，提出抗诉，成功改判的</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人。</w:t>
      </w:r>
      <w:r>
        <w:rPr>
          <w:rFonts w:hint="eastAsia" w:ascii="仿宋" w:hAnsi="仿宋" w:eastAsia="仿宋" w:cs="仿宋"/>
          <w:sz w:val="32"/>
          <w:szCs w:val="32"/>
        </w:rPr>
        <w:t>积极开展“两个专项”立案监督活动，成功立案监督</w:t>
      </w:r>
      <w:r>
        <w:rPr>
          <w:rFonts w:ascii="仿宋" w:hAnsi="仿宋" w:eastAsia="仿宋" w:cs="仿宋"/>
          <w:sz w:val="32"/>
          <w:szCs w:val="32"/>
        </w:rPr>
        <w:t>2</w:t>
      </w:r>
      <w:r>
        <w:rPr>
          <w:rFonts w:hint="eastAsia" w:ascii="仿宋" w:hAnsi="仿宋" w:eastAsia="仿宋" w:cs="仿宋"/>
          <w:sz w:val="32"/>
          <w:szCs w:val="32"/>
        </w:rPr>
        <w:t>件</w:t>
      </w:r>
      <w:r>
        <w:rPr>
          <w:rFonts w:ascii="仿宋" w:hAnsi="仿宋" w:eastAsia="仿宋" w:cs="仿宋"/>
          <w:sz w:val="32"/>
          <w:szCs w:val="32"/>
        </w:rPr>
        <w:t xml:space="preserve"> 2</w:t>
      </w:r>
      <w:r>
        <w:rPr>
          <w:rFonts w:hint="eastAsia" w:ascii="仿宋" w:hAnsi="仿宋" w:eastAsia="仿宋" w:cs="仿宋"/>
          <w:sz w:val="32"/>
          <w:szCs w:val="32"/>
        </w:rPr>
        <w:t>人。</w:t>
      </w:r>
      <w:r>
        <w:rPr>
          <w:rFonts w:hint="eastAsia" w:eastAsia="仿宋_GB2312" w:cs="仿宋_GB2312"/>
          <w:sz w:val="32"/>
          <w:szCs w:val="32"/>
        </w:rPr>
        <w:t>认真落实认罪认罚从宽制度，有效做好值班律师、证据开示、律师在场见证等工作，</w:t>
      </w:r>
      <w:r>
        <w:rPr>
          <w:rFonts w:eastAsia="仿宋_GB2312"/>
          <w:sz w:val="32"/>
          <w:szCs w:val="32"/>
        </w:rPr>
        <w:t>12</w:t>
      </w:r>
      <w:r>
        <w:rPr>
          <w:rFonts w:hint="eastAsia" w:eastAsia="仿宋_GB2312" w:cs="仿宋_GB2312"/>
          <w:sz w:val="32"/>
          <w:szCs w:val="32"/>
        </w:rPr>
        <w:t>月认罪认罚从宽制度适用率达到</w:t>
      </w:r>
      <w:r>
        <w:rPr>
          <w:rFonts w:eastAsia="仿宋_GB2312"/>
          <w:sz w:val="32"/>
          <w:szCs w:val="32"/>
        </w:rPr>
        <w:t>86.36%</w:t>
      </w:r>
      <w:r>
        <w:rPr>
          <w:rFonts w:hint="eastAsia" w:eastAsia="仿宋_GB2312" w:cs="仿宋_GB2312"/>
          <w:sz w:val="32"/>
          <w:szCs w:val="32"/>
        </w:rPr>
        <w:t>，有效提升了司法效率。</w:t>
      </w:r>
    </w:p>
    <w:p>
      <w:pPr>
        <w:wordWrap w:val="0"/>
        <w:spacing w:line="360" w:lineRule="auto"/>
        <w:ind w:firstLine="640"/>
        <w:rPr>
          <w:rFonts w:ascii="仿宋_GB2312" w:hAnsi="仿宋_GB2312" w:eastAsia="仿宋_GB2312"/>
          <w:sz w:val="32"/>
          <w:szCs w:val="32"/>
        </w:rPr>
      </w:pPr>
      <w:r>
        <w:rPr>
          <w:rFonts w:hint="eastAsia" w:ascii="仿宋_GB2312" w:hAnsi="仿宋_GB2312" w:eastAsia="仿宋_GB2312" w:cs="仿宋_GB2312"/>
          <w:sz w:val="32"/>
          <w:szCs w:val="32"/>
        </w:rPr>
        <w:t>加强刑事执行活动监督，驻所检察人员与在押人员个别谈话</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人（次），对在押人员进行法制宣传教育</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次</w:t>
      </w:r>
      <w:r>
        <w:rPr>
          <w:rFonts w:ascii="仿宋_GB2312" w:hAnsi="仿宋_GB2312" w:eastAsia="仿宋_GB2312" w:cs="仿宋_GB2312"/>
          <w:sz w:val="32"/>
          <w:szCs w:val="32"/>
        </w:rPr>
        <w:t>236</w:t>
      </w:r>
      <w:r>
        <w:rPr>
          <w:rFonts w:hint="eastAsia" w:ascii="仿宋_GB2312" w:hAnsi="仿宋_GB2312" w:eastAsia="仿宋_GB2312" w:cs="仿宋_GB2312"/>
          <w:sz w:val="32"/>
          <w:szCs w:val="32"/>
        </w:rPr>
        <w:t>人。对看守所进行安全检查</w:t>
      </w:r>
      <w:r>
        <w:rPr>
          <w:rFonts w:ascii="仿宋_GB2312" w:hAnsi="仿宋_GB2312" w:eastAsia="仿宋_GB2312" w:cs="仿宋_GB2312"/>
          <w:sz w:val="32"/>
          <w:szCs w:val="32"/>
        </w:rPr>
        <w:t>47</w:t>
      </w:r>
      <w:r>
        <w:rPr>
          <w:rFonts w:hint="eastAsia" w:ascii="仿宋_GB2312" w:hAnsi="仿宋_GB2312" w:eastAsia="仿宋_GB2312" w:cs="仿宋_GB2312"/>
          <w:sz w:val="32"/>
          <w:szCs w:val="32"/>
        </w:rPr>
        <w:t>次，提出检察建议</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次，依法发出纠正违法通知书</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份。受理羁押必要性审查案件</w:t>
      </w:r>
      <w:r>
        <w:rPr>
          <w:rFonts w:ascii="仿宋_GB2312" w:hAnsi="仿宋_GB2312" w:eastAsia="仿宋_GB2312" w:cs="仿宋_GB2312"/>
          <w:sz w:val="32"/>
          <w:szCs w:val="32"/>
        </w:rPr>
        <w:t>28</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28</w:t>
      </w:r>
      <w:r>
        <w:rPr>
          <w:rFonts w:hint="eastAsia" w:ascii="仿宋_GB2312" w:hAnsi="仿宋_GB2312" w:eastAsia="仿宋_GB2312" w:cs="仿宋_GB2312"/>
          <w:sz w:val="32"/>
          <w:szCs w:val="32"/>
        </w:rPr>
        <w:t>人，向办案单位（部门）建议变更强制措施</w:t>
      </w:r>
      <w:r>
        <w:rPr>
          <w:rFonts w:ascii="仿宋_GB2312" w:hAnsi="仿宋_GB2312" w:eastAsia="仿宋_GB2312" w:cs="仿宋_GB2312"/>
          <w:sz w:val="32"/>
          <w:szCs w:val="32"/>
        </w:rPr>
        <w:t>14</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14</w:t>
      </w:r>
      <w:r>
        <w:rPr>
          <w:rFonts w:hint="eastAsia" w:ascii="仿宋_GB2312" w:hAnsi="仿宋_GB2312" w:eastAsia="仿宋_GB2312" w:cs="仿宋_GB2312"/>
          <w:sz w:val="32"/>
          <w:szCs w:val="32"/>
        </w:rPr>
        <w:t>人，均被采纳，办理上级交办罪犯又犯罪案件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人。会同司法局组成联合检查组，对我市</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个镇（街道）司法所开展社区矫正工作的情况进行检查。参加社区服刑人员集中宣告仪式</w:t>
      </w:r>
      <w:r>
        <w:rPr>
          <w:rFonts w:ascii="仿宋_GB2312" w:hAnsi="仿宋_GB2312" w:eastAsia="仿宋_GB2312" w:cs="仿宋_GB2312"/>
          <w:sz w:val="32"/>
          <w:szCs w:val="32"/>
        </w:rPr>
        <w:t>11</w:t>
      </w:r>
      <w:r>
        <w:rPr>
          <w:rFonts w:hint="eastAsia" w:ascii="仿宋_GB2312" w:hAnsi="仿宋_GB2312" w:eastAsia="仿宋_GB2312" w:cs="仿宋_GB2312"/>
          <w:sz w:val="32"/>
          <w:szCs w:val="32"/>
        </w:rPr>
        <w:t>次，对社区服刑人员进行集中教育</w:t>
      </w:r>
      <w:r>
        <w:rPr>
          <w:rFonts w:ascii="仿宋_GB2312" w:hAnsi="仿宋_GB2312" w:eastAsia="仿宋_GB2312" w:cs="仿宋_GB2312"/>
          <w:sz w:val="32"/>
          <w:szCs w:val="32"/>
        </w:rPr>
        <w:t>14</w:t>
      </w:r>
      <w:r>
        <w:rPr>
          <w:rFonts w:hint="eastAsia" w:ascii="仿宋_GB2312" w:hAnsi="仿宋_GB2312" w:eastAsia="仿宋_GB2312" w:cs="仿宋_GB2312"/>
          <w:sz w:val="32"/>
          <w:szCs w:val="32"/>
        </w:rPr>
        <w:t>次</w:t>
      </w:r>
      <w:r>
        <w:rPr>
          <w:rFonts w:ascii="仿宋_GB2312" w:hAnsi="仿宋_GB2312" w:eastAsia="仿宋_GB2312" w:cs="仿宋_GB2312"/>
          <w:sz w:val="32"/>
          <w:szCs w:val="32"/>
        </w:rPr>
        <w:t>205</w:t>
      </w:r>
      <w:r>
        <w:rPr>
          <w:rFonts w:hint="eastAsia" w:ascii="仿宋_GB2312" w:hAnsi="仿宋_GB2312" w:eastAsia="仿宋_GB2312" w:cs="仿宋_GB2312"/>
          <w:sz w:val="32"/>
          <w:szCs w:val="32"/>
        </w:rPr>
        <w:t>人。</w:t>
      </w:r>
    </w:p>
    <w:p>
      <w:pPr>
        <w:wordWrap w:val="0"/>
        <w:spacing w:line="360" w:lineRule="auto"/>
        <w:ind w:firstLine="640"/>
        <w:rPr>
          <w:rFonts w:ascii="楷体" w:hAnsi="楷体" w:eastAsia="楷体"/>
          <w:sz w:val="32"/>
          <w:szCs w:val="32"/>
        </w:rPr>
      </w:pPr>
      <w:r>
        <w:rPr>
          <w:rFonts w:hint="eastAsia" w:ascii="楷体" w:hAnsi="楷体" w:eastAsia="楷体" w:cs="楷体"/>
          <w:sz w:val="32"/>
          <w:szCs w:val="32"/>
        </w:rPr>
        <w:t>（二）</w:t>
      </w:r>
      <w:r>
        <w:rPr>
          <w:rFonts w:hint="eastAsia" w:ascii="楷体" w:hAnsi="楷体" w:eastAsia="楷体" w:cs="楷体"/>
          <w:kern w:val="0"/>
          <w:sz w:val="32"/>
          <w:szCs w:val="32"/>
        </w:rPr>
        <w:t>公益诉讼工作打开新局面</w:t>
      </w:r>
    </w:p>
    <w:p>
      <w:pPr>
        <w:adjustRightInd w:val="0"/>
        <w:snapToGrid w:val="0"/>
        <w:spacing w:line="360" w:lineRule="auto"/>
        <w:ind w:firstLine="640" w:firstLineChars="200"/>
        <w:rPr>
          <w:rFonts w:ascii="仿宋_GB2312" w:hAnsi="仿宋_GB2312" w:eastAsia="仿宋_GB2312"/>
          <w:sz w:val="30"/>
          <w:szCs w:val="30"/>
        </w:rPr>
      </w:pPr>
      <w:r>
        <w:rPr>
          <w:rFonts w:hint="eastAsia" w:ascii="仿宋_GB2312" w:hAnsi="仿宋_GB2312" w:eastAsia="仿宋_GB2312" w:cs="仿宋_GB2312"/>
          <w:sz w:val="32"/>
          <w:szCs w:val="32"/>
        </w:rPr>
        <w:t>拓宽监督视野，排查不同领域的公益诉讼案件线索，在履行职责中发现线索。</w:t>
      </w:r>
      <w:r>
        <w:rPr>
          <w:rFonts w:hint="eastAsia" w:ascii="仿宋" w:hAnsi="仿宋" w:eastAsia="仿宋" w:cs="仿宋"/>
          <w:sz w:val="32"/>
          <w:szCs w:val="32"/>
        </w:rPr>
        <w:t>立案行政公益诉讼案件</w:t>
      </w:r>
      <w:r>
        <w:rPr>
          <w:rFonts w:ascii="仿宋" w:hAnsi="仿宋" w:eastAsia="仿宋" w:cs="仿宋"/>
          <w:sz w:val="32"/>
          <w:szCs w:val="32"/>
        </w:rPr>
        <w:t>23</w:t>
      </w:r>
      <w:r>
        <w:rPr>
          <w:rFonts w:hint="eastAsia" w:ascii="仿宋" w:hAnsi="仿宋" w:eastAsia="仿宋" w:cs="仿宋"/>
          <w:sz w:val="32"/>
          <w:szCs w:val="32"/>
        </w:rPr>
        <w:t>件，向相关职能部门发出诉前检察建议</w:t>
      </w:r>
      <w:r>
        <w:rPr>
          <w:rFonts w:ascii="仿宋" w:hAnsi="仿宋" w:eastAsia="仿宋" w:cs="仿宋"/>
          <w:sz w:val="32"/>
          <w:szCs w:val="32"/>
        </w:rPr>
        <w:t>24</w:t>
      </w:r>
      <w:r>
        <w:rPr>
          <w:rFonts w:hint="eastAsia" w:ascii="仿宋" w:hAnsi="仿宋" w:eastAsia="仿宋" w:cs="仿宋"/>
          <w:sz w:val="32"/>
          <w:szCs w:val="32"/>
        </w:rPr>
        <w:t>份，行政机关采纳检察建议并依法履行职责</w:t>
      </w:r>
      <w:r>
        <w:rPr>
          <w:rFonts w:ascii="仿宋" w:hAnsi="仿宋" w:eastAsia="仿宋" w:cs="仿宋"/>
          <w:sz w:val="32"/>
          <w:szCs w:val="32"/>
        </w:rPr>
        <w:t>70</w:t>
      </w:r>
      <w:r>
        <w:rPr>
          <w:rFonts w:hint="eastAsia" w:ascii="仿宋" w:hAnsi="仿宋" w:eastAsia="仿宋" w:cs="仿宋"/>
          <w:sz w:val="32"/>
          <w:szCs w:val="32"/>
        </w:rPr>
        <w:t>件（其中</w:t>
      </w:r>
      <w:r>
        <w:rPr>
          <w:rFonts w:ascii="仿宋" w:hAnsi="仿宋" w:eastAsia="仿宋" w:cs="仿宋"/>
          <w:sz w:val="32"/>
          <w:szCs w:val="32"/>
        </w:rPr>
        <w:t>47</w:t>
      </w:r>
      <w:r>
        <w:rPr>
          <w:rFonts w:hint="eastAsia" w:ascii="仿宋" w:hAnsi="仿宋" w:eastAsia="仿宋" w:cs="仿宋"/>
          <w:sz w:val="32"/>
          <w:szCs w:val="32"/>
        </w:rPr>
        <w:t>件去年发出，</w:t>
      </w:r>
      <w:r>
        <w:rPr>
          <w:rFonts w:ascii="仿宋" w:hAnsi="仿宋" w:eastAsia="仿宋" w:cs="仿宋"/>
          <w:sz w:val="32"/>
          <w:szCs w:val="32"/>
        </w:rPr>
        <w:t>1</w:t>
      </w:r>
      <w:r>
        <w:rPr>
          <w:rFonts w:hint="eastAsia" w:ascii="仿宋" w:hAnsi="仿宋" w:eastAsia="仿宋" w:cs="仿宋"/>
          <w:sz w:val="32"/>
          <w:szCs w:val="32"/>
        </w:rPr>
        <w:t>份未到期回复），</w:t>
      </w:r>
      <w:r>
        <w:rPr>
          <w:rFonts w:hint="eastAsia" w:ascii="仿宋_GB2312" w:hAnsi="仿宋_GB2312" w:eastAsia="仿宋_GB2312" w:cs="仿宋_GB2312"/>
          <w:sz w:val="32"/>
          <w:szCs w:val="32"/>
        </w:rPr>
        <w:t>依法追缴加处罚款</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多万元</w:t>
      </w:r>
      <w:r>
        <w:rPr>
          <w:rFonts w:hint="eastAsia" w:ascii="仿宋" w:hAnsi="仿宋" w:eastAsia="仿宋" w:cs="仿宋"/>
          <w:sz w:val="32"/>
          <w:szCs w:val="32"/>
        </w:rPr>
        <w:t>。</w:t>
      </w:r>
      <w:r>
        <w:rPr>
          <w:rFonts w:hint="eastAsia" w:ascii="仿宋_GB2312" w:hAnsi="仿宋_GB2312" w:eastAsia="仿宋_GB2312" w:cs="仿宋_GB2312"/>
          <w:sz w:val="32"/>
          <w:szCs w:val="32"/>
        </w:rPr>
        <w:t>立案刑事附带民事公益诉讼案件</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件。</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加强水资源保护，促进水资源优化配置和可持续利用。通过对水电站、水库、印染厂、水泥厂等取水单位开发利用水资源的情况进行排查，发现我市部分取水单位存在超过取水许可证有效期取水、办理取水许可证未依法提交水资源论证报告等行为，排查线索</w:t>
      </w:r>
      <w:r>
        <w:rPr>
          <w:rFonts w:ascii="仿宋_GB2312" w:hAnsi="仿宋_GB2312" w:eastAsia="仿宋_GB2312" w:cs="仿宋_GB2312"/>
          <w:sz w:val="32"/>
          <w:szCs w:val="32"/>
        </w:rPr>
        <w:t>16</w:t>
      </w:r>
      <w:r>
        <w:rPr>
          <w:rFonts w:hint="eastAsia" w:ascii="仿宋_GB2312" w:hAnsi="仿宋_GB2312" w:eastAsia="仿宋_GB2312" w:cs="仿宋_GB2312"/>
          <w:sz w:val="32"/>
          <w:szCs w:val="32"/>
        </w:rPr>
        <w:t>条，发出诉前检察建议</w:t>
      </w:r>
      <w:r>
        <w:rPr>
          <w:rFonts w:ascii="仿宋_GB2312" w:hAnsi="仿宋_GB2312" w:eastAsia="仿宋_GB2312" w:cs="仿宋_GB2312"/>
          <w:sz w:val="32"/>
          <w:szCs w:val="32"/>
        </w:rPr>
        <w:t>16</w:t>
      </w:r>
      <w:r>
        <w:rPr>
          <w:rFonts w:hint="eastAsia" w:ascii="仿宋_GB2312" w:hAnsi="仿宋_GB2312" w:eastAsia="仿宋_GB2312" w:cs="仿宋_GB2312"/>
          <w:sz w:val="32"/>
          <w:szCs w:val="32"/>
        </w:rPr>
        <w:t>份。</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深入开展食品药品安全“四个最严”要求专项行动。为保障人民群众“舌尖上的安全”，加强了食品生产、餐饮经营方面的线索排查，对生产三无食品、超出范围从事食品经营活动的违法行为进行监督，依法发出检察建议</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份，主管部门均采纳，并对违法行为作出行政处罚，责令改正。</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发挥绥江流域协作机制作用，保护绥江母亲河。办理</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件维护绥江流域的公益诉讼案件，发出检察建议</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份，督促职能部门、相关企业履职整改，有效保障了我市饮用水源安全及绥江生态环境。</w:t>
      </w:r>
    </w:p>
    <w:p>
      <w:pPr>
        <w:rPr>
          <w:rFonts w:ascii="仿宋_GB2312" w:hAnsi="仿宋_GB2312" w:eastAsia="仿宋_GB2312"/>
          <w:sz w:val="32"/>
          <w:szCs w:val="32"/>
        </w:rPr>
      </w:pPr>
      <w:r>
        <w:rPr>
          <w:rFonts w:ascii="仿宋_GB2312" w:hAnsi="仿宋_GB2312" w:eastAsia="仿宋_GB2312" w:cs="仿宋_GB2312"/>
          <w:sz w:val="32"/>
          <w:szCs w:val="32"/>
        </w:rPr>
        <w:t xml:space="preserve">    </w:t>
      </w:r>
      <w:r>
        <w:rPr>
          <w:rFonts w:hint="eastAsia" w:ascii="楷体" w:hAnsi="楷体" w:eastAsia="楷体" w:cs="楷体"/>
          <w:kern w:val="0"/>
          <w:sz w:val="32"/>
          <w:szCs w:val="32"/>
        </w:rPr>
        <w:t>（三）民事行政检察监督取得新进展</w:t>
      </w:r>
    </w:p>
    <w:p>
      <w:pPr>
        <w:wordWrap w:val="0"/>
        <w:spacing w:line="360" w:lineRule="auto"/>
        <w:rPr>
          <w:rFonts w:ascii="仿宋" w:hAnsi="仿宋" w:eastAsia="仿宋"/>
          <w:sz w:val="32"/>
          <w:szCs w:val="32"/>
        </w:rPr>
      </w:pPr>
      <w:r>
        <w:rPr>
          <w:rFonts w:ascii="仿宋" w:hAnsi="仿宋" w:eastAsia="仿宋" w:cs="仿宋"/>
          <w:kern w:val="0"/>
          <w:sz w:val="32"/>
          <w:szCs w:val="32"/>
        </w:rPr>
        <w:t xml:space="preserve">    </w:t>
      </w:r>
      <w:r>
        <w:rPr>
          <w:rFonts w:hint="eastAsia" w:ascii="仿宋" w:hAnsi="仿宋" w:eastAsia="仿宋" w:cs="仿宋"/>
          <w:kern w:val="0"/>
          <w:sz w:val="32"/>
          <w:szCs w:val="32"/>
        </w:rPr>
        <w:t>聚焦人民群众关心的民事、行政诉讼案件，我院积极依法履职。今年以来，</w:t>
      </w:r>
      <w:r>
        <w:rPr>
          <w:rFonts w:hint="eastAsia" w:ascii="仿宋_GB2312" w:eastAsia="仿宋_GB2312" w:cs="仿宋_GB2312"/>
          <w:sz w:val="32"/>
          <w:szCs w:val="32"/>
        </w:rPr>
        <w:t>办结民事行政监督案件</w:t>
      </w:r>
      <w:r>
        <w:rPr>
          <w:rFonts w:ascii="仿宋_GB2312" w:eastAsia="仿宋_GB2312" w:cs="仿宋_GB2312"/>
          <w:sz w:val="32"/>
          <w:szCs w:val="32"/>
        </w:rPr>
        <w:t>6</w:t>
      </w:r>
      <w:r>
        <w:rPr>
          <w:rFonts w:hint="eastAsia" w:ascii="仿宋_GB2312" w:eastAsia="仿宋_GB2312" w:cs="仿宋_GB2312"/>
          <w:sz w:val="32"/>
          <w:szCs w:val="32"/>
        </w:rPr>
        <w:t>件，其中涉嫌虚假诉讼监督案件</w:t>
      </w:r>
      <w:r>
        <w:rPr>
          <w:rFonts w:ascii="仿宋_GB2312" w:eastAsia="仿宋_GB2312" w:cs="仿宋_GB2312"/>
          <w:sz w:val="32"/>
          <w:szCs w:val="32"/>
        </w:rPr>
        <w:t>1</w:t>
      </w:r>
      <w:r>
        <w:rPr>
          <w:rFonts w:hint="eastAsia" w:ascii="仿宋_GB2312" w:eastAsia="仿宋_GB2312" w:cs="仿宋_GB2312"/>
          <w:sz w:val="32"/>
          <w:szCs w:val="32"/>
        </w:rPr>
        <w:t>件，审判程序监督案件</w:t>
      </w:r>
      <w:r>
        <w:rPr>
          <w:rFonts w:ascii="仿宋_GB2312" w:eastAsia="仿宋_GB2312" w:cs="仿宋_GB2312"/>
          <w:sz w:val="32"/>
          <w:szCs w:val="32"/>
        </w:rPr>
        <w:t>1</w:t>
      </w:r>
      <w:r>
        <w:rPr>
          <w:rFonts w:hint="eastAsia" w:ascii="仿宋_GB2312" w:eastAsia="仿宋_GB2312" w:cs="仿宋_GB2312"/>
          <w:sz w:val="32"/>
          <w:szCs w:val="32"/>
        </w:rPr>
        <w:t>件，执行监督案件</w:t>
      </w:r>
      <w:r>
        <w:rPr>
          <w:rFonts w:ascii="仿宋_GB2312" w:eastAsia="仿宋_GB2312" w:cs="仿宋_GB2312"/>
          <w:sz w:val="32"/>
          <w:szCs w:val="32"/>
        </w:rPr>
        <w:t>4</w:t>
      </w:r>
      <w:r>
        <w:rPr>
          <w:rFonts w:hint="eastAsia" w:ascii="仿宋_GB2312" w:eastAsia="仿宋_GB2312" w:cs="仿宋_GB2312"/>
          <w:sz w:val="32"/>
          <w:szCs w:val="32"/>
        </w:rPr>
        <w:t>件。</w:t>
      </w:r>
      <w:r>
        <w:rPr>
          <w:rFonts w:hint="eastAsia" w:ascii="仿宋" w:hAnsi="仿宋" w:eastAsia="仿宋" w:cs="仿宋"/>
          <w:kern w:val="0"/>
          <w:sz w:val="32"/>
          <w:szCs w:val="32"/>
        </w:rPr>
        <w:t>通过办案发出检察建议</w:t>
      </w:r>
      <w:r>
        <w:rPr>
          <w:rFonts w:ascii="仿宋" w:hAnsi="仿宋" w:eastAsia="仿宋" w:cs="仿宋"/>
          <w:kern w:val="0"/>
          <w:sz w:val="32"/>
          <w:szCs w:val="32"/>
        </w:rPr>
        <w:t>2</w:t>
      </w:r>
      <w:r>
        <w:rPr>
          <w:rFonts w:hint="eastAsia" w:ascii="仿宋" w:hAnsi="仿宋" w:eastAsia="仿宋" w:cs="仿宋"/>
          <w:kern w:val="0"/>
          <w:sz w:val="32"/>
          <w:szCs w:val="32"/>
        </w:rPr>
        <w:t>份，加强与人民法院沟通协调，共同促进矛盾化解和权益保障。</w:t>
      </w:r>
      <w:r>
        <w:rPr>
          <w:rFonts w:hint="eastAsia" w:ascii="仿宋_GB2312" w:eastAsia="仿宋_GB2312" w:cs="仿宋_GB2312"/>
          <w:sz w:val="32"/>
          <w:szCs w:val="32"/>
        </w:rPr>
        <w:t>通过制定《四会市行政执法与刑事司法衔接工作考核办法》，规范各成员单位信息录入工作，不断完善“两法衔接”工作机制。通过</w:t>
      </w:r>
      <w:r>
        <w:rPr>
          <w:rFonts w:hint="eastAsia" w:ascii="仿宋" w:hAnsi="仿宋" w:eastAsia="仿宋" w:cs="仿宋"/>
          <w:sz w:val="32"/>
          <w:szCs w:val="32"/>
        </w:rPr>
        <w:t>联席会议制度、走访检查、案件咨询、适时通报、个案协调等工作，加强“两法衔接”信息共享平台的应用与推广，务求发挥平台发现线索、监督移送的功能。</w:t>
      </w:r>
      <w:r>
        <w:rPr>
          <w:rFonts w:hint="eastAsia" w:ascii="仿宋_GB2312" w:hAnsi="仿宋_GB2312" w:eastAsia="仿宋_GB2312" w:cs="仿宋_GB2312"/>
          <w:sz w:val="32"/>
          <w:szCs w:val="32"/>
        </w:rPr>
        <w:t>今年以来，“两法衔接”信息平台共录入</w:t>
      </w:r>
      <w:r>
        <w:rPr>
          <w:rFonts w:ascii="仿宋_GB2312" w:hAnsi="仿宋_GB2312" w:eastAsia="仿宋_GB2312" w:cs="仿宋_GB2312"/>
          <w:sz w:val="32"/>
          <w:szCs w:val="32"/>
        </w:rPr>
        <w:t>1517</w:t>
      </w:r>
      <w:r>
        <w:rPr>
          <w:rFonts w:hint="eastAsia" w:ascii="仿宋_GB2312" w:hAnsi="仿宋_GB2312" w:eastAsia="仿宋_GB2312" w:cs="仿宋_GB2312"/>
          <w:sz w:val="32"/>
          <w:szCs w:val="32"/>
        </w:rPr>
        <w:t>条行政处罚案件信息，其中涉嫌犯罪案件移送公安机关</w:t>
      </w:r>
      <w:r>
        <w:rPr>
          <w:rFonts w:ascii="仿宋_GB2312" w:hAnsi="仿宋_GB2312" w:eastAsia="仿宋_GB2312" w:cs="仿宋_GB2312"/>
          <w:sz w:val="32"/>
          <w:szCs w:val="32"/>
        </w:rPr>
        <w:t>23</w:t>
      </w:r>
      <w:r>
        <w:rPr>
          <w:rFonts w:hint="eastAsia" w:ascii="仿宋_GB2312" w:hAnsi="仿宋_GB2312" w:eastAsia="仿宋_GB2312" w:cs="仿宋_GB2312"/>
          <w:sz w:val="32"/>
          <w:szCs w:val="32"/>
        </w:rPr>
        <w:t>件，移送检察机关备案</w:t>
      </w:r>
      <w:r>
        <w:rPr>
          <w:rFonts w:ascii="仿宋_GB2312" w:hAnsi="仿宋_GB2312" w:eastAsia="仿宋_GB2312" w:cs="仿宋_GB2312"/>
          <w:sz w:val="32"/>
          <w:szCs w:val="32"/>
        </w:rPr>
        <w:t>23</w:t>
      </w:r>
      <w:r>
        <w:rPr>
          <w:rFonts w:hint="eastAsia" w:ascii="仿宋_GB2312" w:hAnsi="仿宋_GB2312" w:eastAsia="仿宋_GB2312" w:cs="仿宋_GB2312"/>
          <w:sz w:val="32"/>
          <w:szCs w:val="32"/>
        </w:rPr>
        <w:t>件，公安机关作出立案决定</w:t>
      </w:r>
      <w:r>
        <w:rPr>
          <w:rFonts w:ascii="仿宋_GB2312" w:hAnsi="仿宋_GB2312" w:eastAsia="仿宋_GB2312" w:cs="仿宋_GB2312"/>
          <w:sz w:val="32"/>
          <w:szCs w:val="32"/>
        </w:rPr>
        <w:t>13</w:t>
      </w:r>
      <w:r>
        <w:rPr>
          <w:rFonts w:hint="eastAsia" w:ascii="仿宋_GB2312" w:hAnsi="仿宋_GB2312" w:eastAsia="仿宋_GB2312" w:cs="仿宋_GB2312"/>
          <w:sz w:val="32"/>
          <w:szCs w:val="32"/>
        </w:rPr>
        <w:t>件。</w:t>
      </w:r>
    </w:p>
    <w:p>
      <w:pPr>
        <w:spacing w:line="360" w:lineRule="auto"/>
        <w:ind w:firstLine="640" w:firstLineChars="200"/>
        <w:rPr>
          <w:rFonts w:ascii="黑体" w:hAnsi="黑体" w:eastAsia="黑体"/>
          <w:sz w:val="32"/>
          <w:szCs w:val="32"/>
        </w:rPr>
      </w:pPr>
      <w:r>
        <w:rPr>
          <w:rFonts w:hint="eastAsia" w:ascii="黑体" w:hAnsi="黑体" w:eastAsia="黑体" w:cs="黑体"/>
          <w:sz w:val="32"/>
          <w:szCs w:val="32"/>
        </w:rPr>
        <w:t>四、坚持从严治检，</w:t>
      </w:r>
      <w:r>
        <w:rPr>
          <w:rFonts w:hint="eastAsia" w:ascii="黑体" w:hAnsi="黑体" w:eastAsia="黑体" w:cs="黑体"/>
          <w:kern w:val="0"/>
          <w:sz w:val="32"/>
          <w:szCs w:val="32"/>
        </w:rPr>
        <w:t>全面强化检察队伍建设</w:t>
      </w:r>
    </w:p>
    <w:p>
      <w:pPr>
        <w:rPr>
          <w:rFonts w:ascii="仿宋_GB2312" w:eastAsia="仿宋_GB2312"/>
          <w:sz w:val="32"/>
          <w:szCs w:val="32"/>
        </w:rPr>
      </w:pPr>
      <w:r>
        <w:rPr>
          <w:rFonts w:hint="eastAsia" w:cs="宋体"/>
        </w:rPr>
        <w:t>　　</w:t>
      </w:r>
      <w:r>
        <w:rPr>
          <w:rFonts w:hint="eastAsia" w:ascii="仿宋_GB2312" w:eastAsia="仿宋_GB2312" w:cs="仿宋_GB2312"/>
          <w:sz w:val="32"/>
          <w:szCs w:val="32"/>
        </w:rPr>
        <w:t>始终坚持党对检察工作的绝对领导，推进政治生态优化，抓党建带队建，抓规范强公信，抓监督严管理，努力建设一支忠诚、干净、担当的检察队伍。</w:t>
      </w:r>
    </w:p>
    <w:p>
      <w:pPr>
        <w:spacing w:line="360" w:lineRule="auto"/>
        <w:ind w:firstLine="640" w:firstLineChars="200"/>
        <w:rPr>
          <w:rFonts w:ascii="楷体_GB2312" w:eastAsia="楷体_GB2312"/>
          <w:sz w:val="32"/>
          <w:szCs w:val="32"/>
        </w:rPr>
      </w:pPr>
      <w:r>
        <w:rPr>
          <w:rFonts w:hint="eastAsia" w:ascii="楷体_GB2312" w:eastAsia="楷体_GB2312" w:cs="楷体_GB2312"/>
          <w:sz w:val="32"/>
          <w:szCs w:val="32"/>
        </w:rPr>
        <w:t>（一）加强政治建设，坚定职业信仰</w:t>
      </w:r>
    </w:p>
    <w:p>
      <w:pPr>
        <w:widowControl/>
        <w:shd w:val="clear" w:color="auto" w:fill="FFFFFF"/>
        <w:jc w:val="left"/>
        <w:rPr>
          <w:rFonts w:ascii="仿宋_GB2312" w:eastAsia="仿宋_GB2312"/>
          <w:sz w:val="32"/>
          <w:szCs w:val="32"/>
        </w:rPr>
      </w:pPr>
      <w:r>
        <w:rPr>
          <w:rFonts w:ascii="仿宋_GB2312" w:eastAsia="仿宋_GB2312" w:cs="仿宋_GB2312"/>
          <w:sz w:val="32"/>
          <w:szCs w:val="32"/>
        </w:rPr>
        <w:t xml:space="preserve">    </w:t>
      </w:r>
      <w:r>
        <w:rPr>
          <w:rFonts w:hint="eastAsia" w:ascii="仿宋_GB2312" w:eastAsia="仿宋_GB2312" w:cs="仿宋_GB2312"/>
          <w:sz w:val="32"/>
          <w:szCs w:val="32"/>
        </w:rPr>
        <w:t>强化理论武装，加强意识形态建设，深入学习贯彻习近平新时代中国特色社会主义思想和党的十九大、十九届三中、四中全会精神以及习近平总书记系列重要讲话精神，进一步坚定政治信仰，站稳政治立场，保持政治定力。</w:t>
      </w:r>
      <w:r>
        <w:rPr>
          <w:rFonts w:hint="eastAsia" w:ascii="仿宋_GB2312" w:hAnsi="宋体" w:eastAsia="仿宋_GB2312" w:cs="仿宋_GB2312"/>
          <w:kern w:val="0"/>
          <w:sz w:val="32"/>
          <w:szCs w:val="32"/>
        </w:rPr>
        <w:t>坚持不懈推进思想政治建设，</w:t>
      </w:r>
      <w:r>
        <w:rPr>
          <w:rFonts w:hint="eastAsia" w:ascii="仿宋_GB2312" w:hAnsi="仿宋" w:eastAsia="仿宋_GB2312" w:cs="仿宋_GB2312"/>
          <w:sz w:val="32"/>
          <w:szCs w:val="32"/>
        </w:rPr>
        <w:t>完成党委及党支部换届选举工作，</w:t>
      </w:r>
      <w:r>
        <w:rPr>
          <w:rFonts w:hint="eastAsia" w:ascii="仿宋_GB2312" w:eastAsia="仿宋_GB2312" w:cs="仿宋_GB2312"/>
          <w:sz w:val="32"/>
          <w:szCs w:val="32"/>
        </w:rPr>
        <w:t>健全党建组织体系，</w:t>
      </w:r>
      <w:r>
        <w:rPr>
          <w:rFonts w:hint="eastAsia" w:ascii="仿宋_GB2312" w:hAnsi="宋体" w:eastAsia="仿宋_GB2312" w:cs="仿宋_GB2312"/>
          <w:kern w:val="0"/>
          <w:sz w:val="32"/>
          <w:szCs w:val="32"/>
        </w:rPr>
        <w:t>持续推进“两学一做”教育常态化制度化。扎实开展“不忘初心、牢记使命”主题教育活动，</w:t>
      </w:r>
      <w:r>
        <w:rPr>
          <w:rFonts w:hint="eastAsia" w:ascii="仿宋_GB2312" w:eastAsia="仿宋_GB2312" w:cs="仿宋_GB2312"/>
          <w:sz w:val="32"/>
          <w:szCs w:val="32"/>
        </w:rPr>
        <w:t>引导干警增强“四个意识”、坚定“四个自信”、做到“两个维护”。</w:t>
      </w:r>
    </w:p>
    <w:p>
      <w:pPr>
        <w:widowControl/>
        <w:shd w:val="clear" w:color="auto" w:fill="FFFFFF"/>
        <w:jc w:val="left"/>
        <w:rPr>
          <w:rFonts w:ascii="楷体_GB2312" w:eastAsia="楷体_GB2312"/>
          <w:sz w:val="32"/>
          <w:szCs w:val="32"/>
        </w:rPr>
      </w:pPr>
      <w:r>
        <w:rPr>
          <w:rFonts w:ascii="楷体_GB2312" w:eastAsia="楷体_GB2312" w:cs="楷体_GB2312"/>
          <w:sz w:val="32"/>
          <w:szCs w:val="32"/>
        </w:rPr>
        <w:t xml:space="preserve">    </w:t>
      </w:r>
      <w:r>
        <w:rPr>
          <w:rFonts w:hint="eastAsia" w:ascii="楷体_GB2312" w:eastAsia="楷体_GB2312" w:cs="楷体_GB2312"/>
          <w:sz w:val="32"/>
          <w:szCs w:val="32"/>
        </w:rPr>
        <w:t>（二）加强能力建设，提升专业素养</w:t>
      </w:r>
    </w:p>
    <w:p>
      <w:pPr>
        <w:wordWrap w:val="0"/>
        <w:spacing w:line="360" w:lineRule="auto"/>
        <w:rPr>
          <w:rFonts w:ascii="仿宋_GB2312" w:hAnsi="仿宋_GB2312" w:eastAsia="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按上级各类培训通知要求，积极组织、安排干警参加检察系统内部各层次的业务培训学习及其他行政机关的相关培训。一年来开展集体培训</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次共</w:t>
      </w:r>
      <w:r>
        <w:rPr>
          <w:rFonts w:ascii="仿宋_GB2312" w:hAnsi="仿宋_GB2312" w:eastAsia="仿宋_GB2312" w:cs="仿宋_GB2312"/>
          <w:sz w:val="32"/>
          <w:szCs w:val="32"/>
        </w:rPr>
        <w:t>1281</w:t>
      </w:r>
      <w:r>
        <w:rPr>
          <w:rFonts w:hint="eastAsia" w:ascii="仿宋_GB2312" w:hAnsi="仿宋_GB2312" w:eastAsia="仿宋_GB2312" w:cs="仿宋_GB2312"/>
          <w:sz w:val="32"/>
          <w:szCs w:val="32"/>
        </w:rPr>
        <w:t>人次，开展各类业务及综合能力培训</w:t>
      </w:r>
      <w:r>
        <w:rPr>
          <w:rFonts w:ascii="仿宋_GB2312" w:hAnsi="仿宋_GB2312" w:eastAsia="仿宋_GB2312" w:cs="仿宋_GB2312"/>
          <w:sz w:val="32"/>
          <w:szCs w:val="32"/>
        </w:rPr>
        <w:t>99</w:t>
      </w:r>
      <w:r>
        <w:rPr>
          <w:rFonts w:hint="eastAsia" w:ascii="仿宋_GB2312" w:hAnsi="仿宋_GB2312" w:eastAsia="仿宋_GB2312" w:cs="仿宋_GB2312"/>
          <w:sz w:val="32"/>
          <w:szCs w:val="32"/>
        </w:rPr>
        <w:t>人次。组织全院干警到浙江大学参加“</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年全市检察机关素能提升专题培训班”，进一步提升了我院检察干警的执法办案、办文办事办会能力、服务检察主责主业的综合素能，以更好适应新时代法律监督新要求。</w:t>
      </w:r>
    </w:p>
    <w:p>
      <w:pPr>
        <w:widowControl/>
        <w:shd w:val="clear" w:color="auto" w:fill="FFFFFF"/>
        <w:jc w:val="left"/>
        <w:rPr>
          <w:rFonts w:ascii="楷体_GB2312" w:eastAsia="楷体_GB2312"/>
          <w:sz w:val="32"/>
          <w:szCs w:val="32"/>
        </w:rPr>
      </w:pPr>
      <w:r>
        <w:rPr>
          <w:rFonts w:ascii="楷体_GB2312" w:eastAsia="楷体_GB2312" w:cs="楷体_GB2312"/>
          <w:sz w:val="32"/>
          <w:szCs w:val="32"/>
        </w:rPr>
        <w:t xml:space="preserve">    </w:t>
      </w:r>
      <w:r>
        <w:rPr>
          <w:rFonts w:hint="eastAsia" w:ascii="楷体_GB2312" w:eastAsia="楷体_GB2312" w:cs="楷体_GB2312"/>
          <w:sz w:val="32"/>
          <w:szCs w:val="32"/>
        </w:rPr>
        <w:t>（三）主动接受监督，改进自身工作</w:t>
      </w:r>
    </w:p>
    <w:p>
      <w:pPr>
        <w:widowControl/>
        <w:shd w:val="clear" w:color="auto" w:fill="FFFFFF"/>
        <w:jc w:val="left"/>
        <w:rPr>
          <w:rFonts w:ascii="仿宋_GB2312" w:eastAsia="仿宋_GB2312"/>
          <w:sz w:val="32"/>
          <w:szCs w:val="32"/>
        </w:rPr>
      </w:pPr>
      <w:r>
        <w:rPr>
          <w:sz w:val="32"/>
          <w:szCs w:val="32"/>
        </w:rPr>
        <w:t xml:space="preserve">    </w:t>
      </w:r>
      <w:r>
        <w:rPr>
          <w:rFonts w:hint="eastAsia" w:ascii="仿宋_GB2312" w:eastAsia="仿宋_GB2312" w:cs="仿宋_GB2312"/>
          <w:sz w:val="32"/>
          <w:szCs w:val="32"/>
        </w:rPr>
        <w:t>主动接受人大及其常委会监督，坚持向人大报告工作制度。加强与人大代表、政协委员的沟通联系，组织检察开放日，</w:t>
      </w:r>
      <w:r>
        <w:rPr>
          <w:rFonts w:hint="eastAsia" w:eastAsia="仿宋_GB2312" w:cs="仿宋_GB2312"/>
          <w:sz w:val="32"/>
          <w:szCs w:val="32"/>
        </w:rPr>
        <w:t>邀请人大代表、政协委员，以及劳动群众、在校学生、民营企业家代表走进检察机关，</w:t>
      </w:r>
      <w:r>
        <w:rPr>
          <w:rFonts w:hint="eastAsia" w:ascii="仿宋_GB2312" w:eastAsia="仿宋_GB2312" w:cs="仿宋_GB2312"/>
          <w:sz w:val="32"/>
          <w:szCs w:val="32"/>
        </w:rPr>
        <w:t>听取意见</w:t>
      </w:r>
      <w:r>
        <w:rPr>
          <w:rFonts w:ascii="仿宋_GB2312" w:eastAsia="仿宋_GB2312" w:cs="仿宋_GB2312"/>
          <w:sz w:val="32"/>
          <w:szCs w:val="32"/>
        </w:rPr>
        <w:t>140</w:t>
      </w:r>
      <w:r>
        <w:rPr>
          <w:rFonts w:hint="eastAsia" w:ascii="仿宋_GB2312" w:eastAsia="仿宋_GB2312" w:cs="仿宋_GB2312"/>
          <w:sz w:val="32"/>
          <w:szCs w:val="32"/>
        </w:rPr>
        <w:t>多人次。邀请人大代表、政协委员旁听评议公诉人出庭案件</w:t>
      </w:r>
      <w:r>
        <w:rPr>
          <w:rFonts w:ascii="仿宋_GB2312" w:eastAsia="仿宋_GB2312" w:cs="仿宋_GB2312"/>
          <w:sz w:val="32"/>
          <w:szCs w:val="32"/>
        </w:rPr>
        <w:t>1</w:t>
      </w:r>
      <w:r>
        <w:rPr>
          <w:rFonts w:hint="eastAsia" w:ascii="仿宋_GB2312" w:eastAsia="仿宋_GB2312" w:cs="仿宋_GB2312"/>
          <w:sz w:val="32"/>
          <w:szCs w:val="32"/>
        </w:rPr>
        <w:t>件次，主动上门走访人大代表听取对检察工作的意见建议</w:t>
      </w:r>
      <w:r>
        <w:rPr>
          <w:rFonts w:ascii="仿宋_GB2312" w:eastAsia="仿宋_GB2312" w:cs="仿宋_GB2312"/>
          <w:sz w:val="32"/>
          <w:szCs w:val="32"/>
        </w:rPr>
        <w:t>1</w:t>
      </w:r>
      <w:r>
        <w:rPr>
          <w:rFonts w:hint="eastAsia" w:ascii="仿宋_GB2312" w:eastAsia="仿宋_GB2312" w:cs="仿宋_GB2312"/>
          <w:sz w:val="32"/>
          <w:szCs w:val="32"/>
        </w:rPr>
        <w:t>次。自觉接受社会监督，落实“网上”“掌上”公开工作和案件信息</w:t>
      </w:r>
      <w:r>
        <w:rPr>
          <w:rFonts w:ascii="仿宋_GB2312" w:eastAsia="仿宋_GB2312" w:cs="仿宋_GB2312"/>
          <w:sz w:val="32"/>
          <w:szCs w:val="32"/>
        </w:rPr>
        <w:t>707</w:t>
      </w:r>
      <w:r>
        <w:rPr>
          <w:rFonts w:hint="eastAsia" w:ascii="仿宋_GB2312" w:eastAsia="仿宋_GB2312" w:cs="仿宋_GB2312"/>
          <w:sz w:val="32"/>
          <w:szCs w:val="32"/>
        </w:rPr>
        <w:t>条，法律文书</w:t>
      </w:r>
      <w:r>
        <w:rPr>
          <w:rFonts w:ascii="仿宋_GB2312" w:eastAsia="仿宋_GB2312" w:cs="仿宋_GB2312"/>
          <w:sz w:val="32"/>
          <w:szCs w:val="32"/>
        </w:rPr>
        <w:t>299</w:t>
      </w:r>
      <w:r>
        <w:rPr>
          <w:rFonts w:hint="eastAsia" w:ascii="仿宋_GB2312" w:eastAsia="仿宋_GB2312" w:cs="仿宋_GB2312"/>
          <w:sz w:val="32"/>
          <w:szCs w:val="32"/>
        </w:rPr>
        <w:t>份，接受咨询、查询、预约服务</w:t>
      </w:r>
      <w:r>
        <w:rPr>
          <w:rFonts w:ascii="仿宋_GB2312" w:eastAsia="仿宋_GB2312" w:cs="仿宋_GB2312"/>
          <w:sz w:val="32"/>
          <w:szCs w:val="32"/>
        </w:rPr>
        <w:t>199</w:t>
      </w:r>
      <w:r>
        <w:rPr>
          <w:rFonts w:hint="eastAsia" w:ascii="仿宋_GB2312" w:eastAsia="仿宋_GB2312" w:cs="仿宋_GB2312"/>
          <w:sz w:val="32"/>
          <w:szCs w:val="32"/>
        </w:rPr>
        <w:t>人次。加强新闻宣传、舆论引导工作，依托新媒体客户端，发布微信信息</w:t>
      </w:r>
      <w:r>
        <w:rPr>
          <w:rFonts w:ascii="仿宋_GB2312" w:eastAsia="仿宋_GB2312" w:cs="仿宋_GB2312"/>
          <w:sz w:val="32"/>
          <w:szCs w:val="32"/>
        </w:rPr>
        <w:t>180</w:t>
      </w:r>
      <w:r>
        <w:rPr>
          <w:rFonts w:hint="eastAsia" w:ascii="仿宋_GB2312" w:eastAsia="仿宋_GB2312" w:cs="仿宋_GB2312"/>
          <w:sz w:val="32"/>
          <w:szCs w:val="32"/>
        </w:rPr>
        <w:t>条，让司法公平正义看得见、听得懂、能评价。参加四会市第二届国家机关“谁执法谁普法”履职评议活动，</w:t>
      </w:r>
      <w:r>
        <w:rPr>
          <w:rFonts w:hint="eastAsia" w:eastAsia="仿宋_GB2312" w:cs="仿宋_GB2312"/>
          <w:sz w:val="32"/>
          <w:szCs w:val="32"/>
        </w:rPr>
        <w:t>获综合评分第一名。</w:t>
      </w:r>
    </w:p>
    <w:p>
      <w:pPr>
        <w:wordWrap w:val="0"/>
        <w:spacing w:line="360" w:lineRule="auto"/>
        <w:ind w:firstLine="640"/>
        <w:rPr>
          <w:rFonts w:ascii="楷体_GB2312" w:hAnsi="楷体_GB2312" w:eastAsia="楷体_GB2312"/>
          <w:sz w:val="32"/>
          <w:szCs w:val="32"/>
        </w:rPr>
      </w:pPr>
      <w:r>
        <w:rPr>
          <w:rFonts w:hint="eastAsia" w:ascii="楷体_GB2312" w:hAnsi="楷体_GB2312" w:eastAsia="楷体_GB2312" w:cs="楷体_GB2312"/>
          <w:sz w:val="32"/>
          <w:szCs w:val="32"/>
        </w:rPr>
        <w:t>（四）推进司法改革，加强队伍管理</w:t>
      </w:r>
    </w:p>
    <w:p>
      <w:pPr>
        <w:wordWrap w:val="0"/>
        <w:spacing w:line="360" w:lineRule="auto"/>
        <w:ind w:firstLine="640"/>
        <w:rPr>
          <w:rFonts w:ascii="仿宋_GB2312" w:hAnsi="仿宋_GB2312" w:eastAsia="仿宋_GB2312"/>
          <w:sz w:val="32"/>
          <w:szCs w:val="32"/>
        </w:rPr>
      </w:pPr>
      <w:r>
        <w:rPr>
          <w:rFonts w:hint="eastAsia" w:ascii="仿宋_GB2312" w:hAnsi="仿宋_GB2312" w:eastAsia="仿宋_GB2312" w:cs="仿宋_GB2312"/>
          <w:sz w:val="32"/>
          <w:szCs w:val="32"/>
        </w:rPr>
        <w:t>按照中央、省委和高检院、省院关于司法体制改革和检察业务改革工作部署，积极探索，稳步有序地推进各项检察改革试点工作，取得了阶段性成果。</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落实员额检察官动态管理机制，完成</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名员额检察官的单独职务序列等级晋升，办理</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名员额检察官的退出手续。</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积极开展人员分类管理相关工作。我院对综合管理类公务员、检察官辅助人员、以及司法警察进行职级套转与职务套改工作。</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稳步推进内设机构改革工作。根据《广东省市、县级人民检察院内设机构改革工作指导意见》等文件精神，拟定本院内设机构改革方案，并按上级院部署试运行。</w:t>
      </w:r>
    </w:p>
    <w:p>
      <w:pPr>
        <w:widowControl/>
        <w:shd w:val="clear" w:color="auto" w:fill="FFFFFF"/>
        <w:jc w:val="left"/>
        <w:rPr>
          <w:rFonts w:ascii="楷体_GB2312" w:hAnsi="微软雅黑" w:eastAsia="楷体_GB2312"/>
          <w:kern w:val="0"/>
          <w:sz w:val="32"/>
          <w:szCs w:val="32"/>
        </w:rPr>
      </w:pPr>
      <w:r>
        <w:rPr>
          <w:rFonts w:ascii="楷体_GB2312" w:hAnsi="微软雅黑" w:eastAsia="楷体_GB2312" w:cs="楷体_GB2312"/>
          <w:kern w:val="0"/>
          <w:sz w:val="32"/>
          <w:szCs w:val="32"/>
        </w:rPr>
        <w:t xml:space="preserve">    </w:t>
      </w:r>
      <w:r>
        <w:rPr>
          <w:rFonts w:hint="eastAsia" w:ascii="楷体_GB2312" w:hAnsi="微软雅黑" w:eastAsia="楷体_GB2312" w:cs="楷体_GB2312"/>
          <w:kern w:val="0"/>
          <w:sz w:val="32"/>
          <w:szCs w:val="32"/>
        </w:rPr>
        <w:t>（五）</w:t>
      </w:r>
      <w:r>
        <w:rPr>
          <w:rFonts w:hint="eastAsia" w:ascii="楷体_GB2312" w:eastAsia="楷体_GB2312" w:cs="楷体_GB2312"/>
          <w:sz w:val="32"/>
          <w:szCs w:val="32"/>
        </w:rPr>
        <w:t>加强作风建设，严守纪律规矩</w:t>
      </w:r>
    </w:p>
    <w:p>
      <w:pPr>
        <w:widowControl/>
        <w:shd w:val="clear" w:color="auto" w:fill="FFFFFF"/>
        <w:jc w:val="left"/>
        <w:rPr>
          <w:rFonts w:eastAsia="仿宋_GB2312"/>
          <w:sz w:val="32"/>
          <w:szCs w:val="32"/>
        </w:rPr>
      </w:pPr>
      <w:r>
        <w:rPr>
          <w:rFonts w:eastAsia="仿宋_GB2312"/>
          <w:sz w:val="32"/>
          <w:szCs w:val="32"/>
        </w:rPr>
        <w:t xml:space="preserve">    </w:t>
      </w:r>
      <w:r>
        <w:rPr>
          <w:rFonts w:hint="eastAsia" w:ascii="仿宋_GB2312" w:eastAsia="仿宋_GB2312" w:cs="仿宋_GB2312"/>
          <w:sz w:val="32"/>
          <w:szCs w:val="32"/>
        </w:rPr>
        <w:t>狠抓纪律作风建设和自身反腐败工作，</w:t>
      </w:r>
      <w:r>
        <w:rPr>
          <w:rFonts w:hint="eastAsia" w:eastAsia="仿宋_GB2312" w:cs="仿宋_GB2312"/>
          <w:sz w:val="32"/>
          <w:szCs w:val="32"/>
        </w:rPr>
        <w:t>突出抓好领导班子</w:t>
      </w:r>
      <w:r>
        <w:rPr>
          <w:rFonts w:eastAsia="仿宋_GB2312"/>
          <w:sz w:val="32"/>
          <w:szCs w:val="32"/>
        </w:rPr>
        <w:t>“</w:t>
      </w:r>
      <w:r>
        <w:rPr>
          <w:rFonts w:hint="eastAsia" w:eastAsia="仿宋_GB2312" w:cs="仿宋_GB2312"/>
          <w:sz w:val="32"/>
          <w:szCs w:val="32"/>
        </w:rPr>
        <w:t>关键少数</w:t>
      </w:r>
      <w:r>
        <w:rPr>
          <w:rFonts w:eastAsia="仿宋_GB2312"/>
          <w:sz w:val="32"/>
          <w:szCs w:val="32"/>
        </w:rPr>
        <w:t>”</w:t>
      </w:r>
      <w:r>
        <w:rPr>
          <w:rFonts w:hint="eastAsia" w:eastAsia="仿宋_GB2312" w:cs="仿宋_GB2312"/>
          <w:sz w:val="32"/>
          <w:szCs w:val="32"/>
        </w:rPr>
        <w:t>，</w:t>
      </w:r>
      <w:r>
        <w:rPr>
          <w:rFonts w:ascii="仿宋_GB2312" w:eastAsia="仿宋_GB2312" w:cs="仿宋_GB2312"/>
          <w:sz w:val="32"/>
          <w:szCs w:val="32"/>
        </w:rPr>
        <w:t xml:space="preserve"> </w:t>
      </w:r>
      <w:r>
        <w:rPr>
          <w:rFonts w:hint="eastAsia" w:ascii="仿宋_GB2312" w:eastAsia="仿宋_GB2312" w:cs="仿宋_GB2312"/>
          <w:sz w:val="32"/>
          <w:szCs w:val="32"/>
        </w:rPr>
        <w:t>加大正风肃纪力度，</w:t>
      </w:r>
      <w:r>
        <w:rPr>
          <w:rFonts w:hint="eastAsia" w:eastAsia="仿宋_GB2312" w:cs="仿宋_GB2312"/>
          <w:sz w:val="32"/>
          <w:szCs w:val="32"/>
        </w:rPr>
        <w:t>坚决执行中央八项规定、检察人员八小时外监督管理规定。落实中央防止干预司法</w:t>
      </w:r>
      <w:r>
        <w:rPr>
          <w:rFonts w:eastAsia="仿宋_GB2312"/>
          <w:sz w:val="32"/>
          <w:szCs w:val="32"/>
        </w:rPr>
        <w:t>“</w:t>
      </w:r>
      <w:r>
        <w:rPr>
          <w:rFonts w:hint="eastAsia" w:eastAsia="仿宋_GB2312" w:cs="仿宋_GB2312"/>
          <w:sz w:val="32"/>
          <w:szCs w:val="32"/>
        </w:rPr>
        <w:t>三个规定</w:t>
      </w:r>
      <w:r>
        <w:rPr>
          <w:rFonts w:eastAsia="仿宋_GB2312"/>
          <w:sz w:val="32"/>
          <w:szCs w:val="32"/>
        </w:rPr>
        <w:t>”</w:t>
      </w:r>
      <w:r>
        <w:rPr>
          <w:rFonts w:hint="eastAsia" w:eastAsia="仿宋_GB2312" w:cs="仿宋_GB2312"/>
          <w:sz w:val="32"/>
          <w:szCs w:val="32"/>
        </w:rPr>
        <w:t>，对过问或干预、插手检察办案等重大事项的行为，全面如实及时记录，加强对检察权运行的日常监督。</w:t>
      </w:r>
    </w:p>
    <w:p>
      <w:pPr>
        <w:snapToGrid w:val="0"/>
        <w:spacing w:line="360" w:lineRule="auto"/>
        <w:ind w:firstLine="640" w:firstLineChars="200"/>
        <w:rPr>
          <w:rFonts w:ascii="仿宋_GB2312" w:hAnsi="黑体" w:eastAsia="仿宋_GB2312"/>
          <w:sz w:val="32"/>
          <w:szCs w:val="32"/>
        </w:rPr>
      </w:pPr>
      <w:r>
        <w:rPr>
          <w:rFonts w:hint="eastAsia" w:eastAsia="仿宋_GB2312" w:cs="仿宋_GB2312"/>
          <w:sz w:val="32"/>
          <w:szCs w:val="32"/>
        </w:rPr>
        <w:t>各位代表，回顾过去一年，</w:t>
      </w:r>
      <w:r>
        <w:rPr>
          <w:rFonts w:hint="eastAsia" w:ascii="仿宋_GB2312" w:eastAsia="仿宋_GB2312" w:cs="仿宋_GB2312"/>
          <w:sz w:val="32"/>
          <w:szCs w:val="32"/>
        </w:rPr>
        <w:t>四会市</w:t>
      </w:r>
      <w:r>
        <w:rPr>
          <w:rFonts w:hint="eastAsia" w:ascii="仿宋_GB2312" w:hAnsi="宋体" w:eastAsia="仿宋_GB2312" w:cs="仿宋_GB2312"/>
          <w:kern w:val="0"/>
          <w:sz w:val="32"/>
          <w:szCs w:val="32"/>
        </w:rPr>
        <w:t>检察工作取得了进展和成绩，</w:t>
      </w:r>
      <w:r>
        <w:rPr>
          <w:rFonts w:hint="eastAsia" w:eastAsia="仿宋_GB2312" w:cs="仿宋_GB2312"/>
          <w:sz w:val="32"/>
          <w:szCs w:val="32"/>
        </w:rPr>
        <w:t>我们深深感到，习近平新时代中国特色社会主义思想的光辉指引，中央、省委、肇庆、四会市委和上级检察机关的坚强领导是我们做好一切检察工作的根本保证。人大及其常委会的监督支持，市政府、市政协和社会各界的关心帮助是我们始终坚守初心使命的底气、信心与力量。在</w:t>
      </w:r>
      <w:r>
        <w:rPr>
          <w:rFonts w:hint="eastAsia" w:ascii="仿宋_GB2312" w:eastAsia="仿宋_GB2312" w:cs="仿宋_GB2312"/>
          <w:sz w:val="32"/>
          <w:szCs w:val="32"/>
        </w:rPr>
        <w:t>此，我代表</w:t>
      </w:r>
      <w:r>
        <w:rPr>
          <w:rFonts w:hint="eastAsia" w:ascii="仿宋_GB2312" w:hAnsi="黑体" w:eastAsia="仿宋_GB2312" w:cs="仿宋_GB2312"/>
          <w:sz w:val="32"/>
          <w:szCs w:val="32"/>
        </w:rPr>
        <w:t>全体检察干警向大家表示衷心的感谢！</w:t>
      </w:r>
    </w:p>
    <w:p>
      <w:pPr>
        <w:rPr>
          <w:rFonts w:ascii="仿宋_GB2312" w:eastAsia="仿宋_GB2312"/>
          <w:sz w:val="32"/>
          <w:szCs w:val="32"/>
        </w:rPr>
      </w:pPr>
      <w:r>
        <w:rPr>
          <w:rFonts w:ascii="仿宋_GB2312" w:eastAsia="仿宋_GB2312" w:cs="仿宋_GB2312"/>
          <w:sz w:val="32"/>
          <w:szCs w:val="32"/>
        </w:rPr>
        <w:t xml:space="preserve">    </w:t>
      </w:r>
      <w:r>
        <w:rPr>
          <w:rFonts w:hint="eastAsia" w:ascii="仿宋_GB2312" w:eastAsia="仿宋_GB2312" w:cs="仿宋_GB2312"/>
          <w:sz w:val="32"/>
          <w:szCs w:val="32"/>
        </w:rPr>
        <w:t>我们清醒地认识到，检察工作还存在一些不容忽视的问题：</w:t>
      </w:r>
      <w:r>
        <w:rPr>
          <w:rFonts w:hint="eastAsia" w:ascii="仿宋_GB2312" w:eastAsia="仿宋_GB2312" w:cs="仿宋_GB2312"/>
          <w:b/>
          <w:bCs/>
          <w:sz w:val="32"/>
          <w:szCs w:val="32"/>
        </w:rPr>
        <w:t>一是</w:t>
      </w:r>
      <w:r>
        <w:rPr>
          <w:rFonts w:hint="eastAsia" w:ascii="仿宋_GB2312" w:eastAsia="仿宋_GB2312" w:cs="仿宋_GB2312"/>
          <w:sz w:val="32"/>
          <w:szCs w:val="32"/>
        </w:rPr>
        <w:t>塑造新型法律监督格局，实现双赢多赢共赢良性局面还有提升空间；</w:t>
      </w:r>
      <w:r>
        <w:rPr>
          <w:rFonts w:hint="eastAsia" w:ascii="仿宋_GB2312" w:eastAsia="仿宋_GB2312" w:cs="仿宋_GB2312"/>
          <w:b/>
          <w:bCs/>
          <w:sz w:val="32"/>
          <w:szCs w:val="32"/>
        </w:rPr>
        <w:t>二是</w:t>
      </w:r>
      <w:r>
        <w:rPr>
          <w:rFonts w:hint="eastAsia" w:ascii="仿宋_GB2312" w:eastAsia="仿宋_GB2312" w:cs="仿宋_GB2312"/>
          <w:sz w:val="32"/>
          <w:szCs w:val="32"/>
        </w:rPr>
        <w:t>法律监督职能履行不充分、不全面、不均衡；</w:t>
      </w:r>
      <w:r>
        <w:rPr>
          <w:rFonts w:hint="eastAsia" w:eastAsia="仿宋_GB2312" w:cs="仿宋_GB2312"/>
          <w:b/>
          <w:bCs/>
          <w:sz w:val="32"/>
          <w:szCs w:val="32"/>
        </w:rPr>
        <w:t>三是</w:t>
      </w:r>
      <w:r>
        <w:rPr>
          <w:rFonts w:hint="eastAsia" w:eastAsia="仿宋_GB2312" w:cs="仿宋_GB2312"/>
          <w:sz w:val="32"/>
          <w:szCs w:val="32"/>
        </w:rPr>
        <w:t>司法体制综合配套改革尚需完善，内设机构改革还要持续深化；</w:t>
      </w:r>
      <w:r>
        <w:rPr>
          <w:rFonts w:hint="eastAsia" w:ascii="仿宋_GB2312" w:eastAsia="仿宋_GB2312" w:cs="仿宋_GB2312"/>
          <w:b/>
          <w:bCs/>
          <w:sz w:val="32"/>
          <w:szCs w:val="32"/>
        </w:rPr>
        <w:t>四是</w:t>
      </w:r>
      <w:r>
        <w:rPr>
          <w:rFonts w:hint="eastAsia" w:ascii="仿宋_GB2312" w:eastAsia="仿宋_GB2312" w:cs="仿宋_GB2312"/>
          <w:sz w:val="32"/>
          <w:szCs w:val="32"/>
        </w:rPr>
        <w:t>应对新形势新挑战，检察人员的司法能力还有待进一步提升。对这些问题和困难，我们将认真对待，努力加以解决。</w:t>
      </w:r>
    </w:p>
    <w:p>
      <w:pPr>
        <w:snapToGrid w:val="0"/>
        <w:spacing w:line="360" w:lineRule="auto"/>
        <w:ind w:firstLine="640" w:firstLineChars="200"/>
        <w:jc w:val="center"/>
        <w:rPr>
          <w:rFonts w:ascii="黑体" w:hAnsi="黑体" w:eastAsia="黑体"/>
          <w:sz w:val="32"/>
          <w:szCs w:val="32"/>
        </w:rPr>
      </w:pPr>
      <w:r>
        <w:rPr>
          <w:rFonts w:ascii="黑体" w:hAnsi="黑体" w:eastAsia="黑体" w:cs="黑体"/>
          <w:sz w:val="32"/>
          <w:szCs w:val="32"/>
        </w:rPr>
        <w:t>2020</w:t>
      </w:r>
      <w:r>
        <w:rPr>
          <w:rFonts w:hint="eastAsia" w:ascii="黑体" w:hAnsi="黑体" w:eastAsia="黑体" w:cs="黑体"/>
          <w:sz w:val="32"/>
          <w:szCs w:val="32"/>
        </w:rPr>
        <w:t>年工作计划</w:t>
      </w:r>
    </w:p>
    <w:p>
      <w:pPr>
        <w:snapToGrid w:val="0"/>
        <w:spacing w:line="360" w:lineRule="auto"/>
        <w:ind w:firstLine="640" w:firstLineChars="200"/>
        <w:rPr>
          <w:rFonts w:ascii="黑体" w:hAnsi="黑体" w:eastAsia="黑体"/>
          <w:sz w:val="32"/>
          <w:szCs w:val="32"/>
        </w:rPr>
      </w:pPr>
      <w:r>
        <w:rPr>
          <w:rFonts w:ascii="黑体" w:hAnsi="黑体" w:eastAsia="黑体" w:cs="黑体"/>
          <w:sz w:val="32"/>
          <w:szCs w:val="32"/>
        </w:rPr>
        <w:t>2020</w:t>
      </w:r>
      <w:r>
        <w:rPr>
          <w:rFonts w:hint="eastAsia" w:ascii="黑体" w:hAnsi="黑体" w:eastAsia="黑体" w:cs="黑体"/>
          <w:sz w:val="32"/>
          <w:szCs w:val="32"/>
        </w:rPr>
        <w:t>年，我们将坚定不移以习近平新时代中国特色社会主义思想为统领，认真落实市委部署和本次大会决议，忠实履行宪法法律赋予的职责，不忘初心、牢记使命、持续奋斗，围绕“四个根本”，抓好新一年检察工作。为我市全力构建“一核一轴一廊”发展新格局，努力建设西江先进制造业走廊主阵地提供有力法治保障。</w:t>
      </w:r>
    </w:p>
    <w:p>
      <w:pPr>
        <w:widowControl/>
        <w:shd w:val="clear" w:color="auto" w:fill="FFFFFF"/>
        <w:jc w:val="left"/>
        <w:rPr>
          <w:rFonts w:ascii="仿宋_GB2312" w:eastAsia="仿宋_GB2312"/>
          <w:sz w:val="32"/>
          <w:szCs w:val="32"/>
        </w:rPr>
      </w:pPr>
      <w:r>
        <w:rPr>
          <w:rFonts w:ascii="楷体_GB2312" w:hAnsi="黑体" w:eastAsia="楷体_GB2312" w:cs="楷体_GB2312"/>
          <w:kern w:val="0"/>
          <w:sz w:val="32"/>
          <w:szCs w:val="32"/>
        </w:rPr>
        <w:t xml:space="preserve">    </w:t>
      </w:r>
      <w:r>
        <w:rPr>
          <w:rFonts w:hint="eastAsia" w:ascii="楷体_GB2312" w:hAnsi="黑体" w:eastAsia="楷体_GB2312" w:cs="楷体_GB2312"/>
          <w:kern w:val="0"/>
          <w:sz w:val="32"/>
          <w:szCs w:val="32"/>
        </w:rPr>
        <w:t>一是主动融入大局，服务保障四会经济社会发展。</w:t>
      </w:r>
      <w:r>
        <w:rPr>
          <w:rFonts w:hint="eastAsia" w:ascii="仿宋_GB2312" w:hAnsi="微软雅黑" w:eastAsia="仿宋_GB2312" w:cs="仿宋_GB2312"/>
          <w:kern w:val="0"/>
          <w:sz w:val="32"/>
          <w:szCs w:val="32"/>
        </w:rPr>
        <w:t>聚焦全面建成小康社会目标任务，</w:t>
      </w:r>
      <w:r>
        <w:rPr>
          <w:rFonts w:hint="eastAsia" w:ascii="仿宋_GB2312" w:hAnsi="黑体" w:eastAsia="仿宋_GB2312" w:cs="仿宋_GB2312"/>
          <w:kern w:val="0"/>
          <w:sz w:val="32"/>
          <w:szCs w:val="32"/>
        </w:rPr>
        <w:t>着力于服务“稳增长、促改革、调结构、惠民生、防风险、保稳定”，</w:t>
      </w:r>
      <w:r>
        <w:rPr>
          <w:rFonts w:hint="eastAsia" w:ascii="仿宋_GB2312" w:hAnsi="微软雅黑" w:eastAsia="仿宋_GB2312" w:cs="仿宋_GB2312"/>
          <w:kern w:val="0"/>
          <w:sz w:val="32"/>
          <w:szCs w:val="32"/>
        </w:rPr>
        <w:t>促进把疫情对经济社会发展的影响降到最低，持之以恒做好防疫工作。</w:t>
      </w:r>
      <w:r>
        <w:rPr>
          <w:rFonts w:hint="eastAsia" w:ascii="仿宋_GB2312" w:eastAsia="仿宋_GB2312" w:cs="仿宋_GB2312"/>
          <w:sz w:val="32"/>
          <w:szCs w:val="32"/>
          <w:shd w:val="clear" w:color="050000" w:fill="auto"/>
        </w:rPr>
        <w:t>把坚持党的绝对领导作为检察工作的灵魂贯彻始终，</w:t>
      </w:r>
      <w:r>
        <w:rPr>
          <w:rFonts w:hint="eastAsia" w:ascii="仿宋_GB2312" w:hAnsi="宋体" w:eastAsia="仿宋_GB2312" w:cs="仿宋_GB2312"/>
          <w:kern w:val="0"/>
          <w:sz w:val="32"/>
          <w:szCs w:val="32"/>
        </w:rPr>
        <w:t>聚焦市委中心工作，更加积极地履行检察职能。围绕平安四会建设，从严从快打击各类刑事犯罪，以扫黑除恶专项斗争为抓手，全力维护社会稳定大局。围绕高质量发展，依法打击各类侵犯经济秩序和知识产权的犯罪，助推我市形成产权保障有力、竞争公平有序的创新环境；</w:t>
      </w:r>
      <w:r>
        <w:rPr>
          <w:rFonts w:hint="eastAsia" w:ascii="仿宋_GB2312" w:eastAsia="仿宋_GB2312" w:cs="仿宋_GB2312"/>
          <w:sz w:val="32"/>
          <w:szCs w:val="32"/>
        </w:rPr>
        <w:t>着力聚焦新时代人民对美好生活的需要，加强民生领域司法保障，妥善处理涉民生案件，以公益诉讼为抓手，加强环境、食药领域诉讼工作，不断增强人民群众获得感、幸福感。</w:t>
      </w:r>
    </w:p>
    <w:p>
      <w:pPr>
        <w:widowControl/>
        <w:shd w:val="clear" w:color="auto" w:fill="FFFFFF"/>
        <w:jc w:val="left"/>
        <w:rPr>
          <w:rFonts w:ascii="微软雅黑" w:hAnsi="微软雅黑" w:eastAsia="微软雅黑"/>
          <w:kern w:val="0"/>
          <w:sz w:val="32"/>
          <w:szCs w:val="32"/>
        </w:rPr>
      </w:pPr>
      <w:r>
        <w:rPr>
          <w:rFonts w:hint="eastAsia" w:ascii="宋体" w:hAnsi="宋体" w:cs="宋体"/>
          <w:kern w:val="0"/>
          <w:sz w:val="32"/>
          <w:szCs w:val="32"/>
        </w:rPr>
        <w:t>　　</w:t>
      </w:r>
      <w:r>
        <w:rPr>
          <w:rFonts w:hint="eastAsia" w:ascii="楷体_GB2312" w:hAnsi="黑体" w:eastAsia="楷体_GB2312" w:cs="楷体_GB2312"/>
          <w:kern w:val="0"/>
          <w:sz w:val="32"/>
          <w:szCs w:val="32"/>
        </w:rPr>
        <w:t>二是全面依法履职，推进法律监督工作平衡充分全面发展。</w:t>
      </w:r>
      <w:r>
        <w:rPr>
          <w:rFonts w:hint="eastAsia" w:ascii="仿宋_GB2312" w:hAnsi="黑体" w:eastAsia="仿宋_GB2312" w:cs="仿宋_GB2312"/>
          <w:kern w:val="0"/>
          <w:sz w:val="32"/>
          <w:szCs w:val="32"/>
        </w:rPr>
        <w:t>主</w:t>
      </w:r>
      <w:r>
        <w:rPr>
          <w:rFonts w:hint="eastAsia" w:ascii="仿宋_GB2312" w:hAnsi="宋体" w:eastAsia="仿宋_GB2312" w:cs="仿宋_GB2312"/>
          <w:kern w:val="0"/>
          <w:sz w:val="32"/>
          <w:szCs w:val="32"/>
        </w:rPr>
        <w:t>动适应检察职能重大调整后的新形势新任务新要求，牢牢把握宪法定位，聚焦法律监督主责主业，积极拓展民事、行政、公益诉讼监督新领域，不断加大办案力度，提升办案质量，提高办案效率，深入推进业务立检战略，立足办案谋发展，构建法律监督新体系。</w:t>
      </w:r>
      <w:r>
        <w:rPr>
          <w:rFonts w:hint="eastAsia" w:eastAsia="仿宋_GB2312" w:cs="仿宋_GB2312"/>
          <w:sz w:val="32"/>
          <w:szCs w:val="32"/>
        </w:rPr>
        <w:t>特别是要落实党的十九届四中全会要求，积极稳妥开展新领域公益诉讼工作。</w:t>
      </w:r>
    </w:p>
    <w:p>
      <w:pPr>
        <w:snapToGrid w:val="0"/>
        <w:spacing w:line="360" w:lineRule="auto"/>
        <w:ind w:firstLine="640" w:firstLineChars="200"/>
        <w:rPr>
          <w:rFonts w:ascii="仿宋_GB2312" w:eastAsia="仿宋_GB2312"/>
          <w:sz w:val="32"/>
          <w:szCs w:val="32"/>
        </w:rPr>
      </w:pPr>
      <w:r>
        <w:rPr>
          <w:rFonts w:hint="eastAsia" w:ascii="楷体_GB2312" w:eastAsia="楷体_GB2312" w:cs="楷体_GB2312"/>
          <w:sz w:val="32"/>
          <w:szCs w:val="32"/>
        </w:rPr>
        <w:t>三是</w:t>
      </w:r>
      <w:r>
        <w:rPr>
          <w:rFonts w:hint="eastAsia" w:ascii="楷体_GB2312" w:hAnsi="黑体" w:eastAsia="楷体_GB2312" w:cs="楷体_GB2312"/>
          <w:kern w:val="0"/>
          <w:sz w:val="32"/>
          <w:szCs w:val="32"/>
        </w:rPr>
        <w:t>全面从严治检，打造过硬检察队伍。</w:t>
      </w:r>
      <w:r>
        <w:rPr>
          <w:rFonts w:hint="eastAsia" w:ascii="仿宋_GB2312" w:eastAsia="仿宋_GB2312" w:cs="仿宋_GB2312"/>
          <w:sz w:val="32"/>
          <w:szCs w:val="32"/>
        </w:rPr>
        <w:t>进一步锻造“四个铁一般”的检察铁军，履行好党和人民赋予的职责使命。</w:t>
      </w:r>
      <w:r>
        <w:rPr>
          <w:rFonts w:hint="eastAsia" w:ascii="仿宋_GB2312" w:eastAsia="仿宋_GB2312" w:cs="仿宋_GB2312"/>
          <w:sz w:val="32"/>
          <w:szCs w:val="32"/>
          <w:shd w:val="clear" w:color="050000" w:fill="auto"/>
        </w:rPr>
        <w:t>认真落实不忘初心、牢记使命制度，</w:t>
      </w:r>
      <w:r>
        <w:rPr>
          <w:rFonts w:hint="eastAsia" w:ascii="仿宋_GB2312" w:eastAsia="仿宋_GB2312" w:cs="仿宋_GB2312"/>
          <w:sz w:val="32"/>
          <w:szCs w:val="32"/>
        </w:rPr>
        <w:t>加强检察机关党的建设，</w:t>
      </w:r>
      <w:r>
        <w:rPr>
          <w:rFonts w:hint="eastAsia" w:ascii="仿宋_GB2312" w:eastAsia="仿宋_GB2312" w:cs="仿宋_GB2312"/>
          <w:sz w:val="32"/>
          <w:szCs w:val="32"/>
          <w:shd w:val="clear" w:color="050000" w:fill="auto"/>
        </w:rPr>
        <w:t>引导检察干警不断锤炼忠诚干净担当的政治品格。</w:t>
      </w:r>
      <w:r>
        <w:rPr>
          <w:rFonts w:hint="eastAsia" w:ascii="仿宋_GB2312" w:eastAsia="仿宋_GB2312" w:cs="仿宋_GB2312"/>
          <w:sz w:val="32"/>
          <w:szCs w:val="32"/>
        </w:rPr>
        <w:t>以专业化建设为牵引，加大培养办理新型案件人才的力度。狠抓全面从严治党全面从严治检不动摇，持之以恒正风肃纪，真正做到严管厚爱。持续加强智慧检务和基础设施建设。</w:t>
      </w:r>
    </w:p>
    <w:p>
      <w:pPr>
        <w:overflowPunct w:val="0"/>
        <w:adjustRightInd w:val="0"/>
        <w:snapToGrid w:val="0"/>
        <w:spacing w:line="580" w:lineRule="exact"/>
        <w:ind w:firstLine="640"/>
        <w:rPr>
          <w:rFonts w:ascii="仿宋_GB2312" w:eastAsia="仿宋_GB2312"/>
          <w:sz w:val="32"/>
          <w:szCs w:val="32"/>
        </w:rPr>
      </w:pPr>
      <w:r>
        <w:rPr>
          <w:rFonts w:hint="eastAsia" w:eastAsia="仿宋_GB2312" w:cs="仿宋_GB2312"/>
          <w:sz w:val="32"/>
          <w:szCs w:val="32"/>
        </w:rPr>
        <w:t>各位代表，新的一年，我</w:t>
      </w:r>
      <w:r>
        <w:rPr>
          <w:rFonts w:hint="eastAsia" w:ascii="仿宋_GB2312" w:eastAsia="仿宋_GB2312" w:cs="仿宋_GB2312"/>
          <w:sz w:val="32"/>
          <w:szCs w:val="32"/>
        </w:rPr>
        <w:t>们要在四会市委和上级检察机关的坚强领导下，守</w:t>
      </w:r>
      <w:r>
        <w:rPr>
          <w:rFonts w:hint="eastAsia" w:eastAsia="仿宋_GB2312" w:cs="仿宋_GB2312"/>
          <w:sz w:val="32"/>
          <w:szCs w:val="32"/>
        </w:rPr>
        <w:t>初心、担使命、找差距、抓落实，努力实现检察事业的新转变，形成新气象，创造新业绩，</w:t>
      </w:r>
      <w:r>
        <w:rPr>
          <w:rFonts w:hint="eastAsia" w:ascii="仿宋_GB2312" w:eastAsia="仿宋_GB2312" w:cs="仿宋_GB2312"/>
          <w:sz w:val="32"/>
          <w:szCs w:val="32"/>
        </w:rPr>
        <w:t>为我市政治安定、社会稳定，经济发展作出更大的检察贡献。</w:t>
      </w:r>
    </w:p>
    <w:p>
      <w:pPr>
        <w:snapToGrid w:val="0"/>
        <w:spacing w:line="360" w:lineRule="auto"/>
        <w:ind w:firstLine="640" w:firstLineChars="200"/>
        <w:rPr>
          <w:rFonts w:ascii="仿宋_GB2312" w:eastAsia="仿宋_GB2312"/>
          <w:sz w:val="32"/>
          <w:szCs w:val="32"/>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widowControl/>
        <w:shd w:val="clear" w:color="auto" w:fill="FFFFFF"/>
        <w:snapToGrid w:val="0"/>
        <w:spacing w:line="360" w:lineRule="auto"/>
        <w:rPr>
          <w:rFonts w:ascii="黑体" w:hAnsi="宋体" w:eastAsia="黑体"/>
          <w:kern w:val="0"/>
          <w:sz w:val="28"/>
          <w:szCs w:val="28"/>
        </w:rPr>
      </w:pPr>
      <w:r>
        <w:rPr>
          <w:rFonts w:hint="eastAsia" w:ascii="黑体" w:hAnsi="宋体" w:eastAsia="黑体" w:cs="黑体"/>
          <w:kern w:val="0"/>
          <w:sz w:val="28"/>
          <w:szCs w:val="28"/>
        </w:rPr>
        <w:t>附件：</w:t>
      </w:r>
    </w:p>
    <w:p>
      <w:pPr>
        <w:widowControl/>
        <w:shd w:val="clear" w:color="auto" w:fill="FFFFFF"/>
        <w:snapToGrid w:val="0"/>
        <w:spacing w:line="360" w:lineRule="auto"/>
        <w:jc w:val="center"/>
        <w:rPr>
          <w:rFonts w:ascii="方正小标宋简体" w:hAnsi="宋体" w:eastAsia="方正小标宋简体"/>
          <w:kern w:val="0"/>
          <w:sz w:val="36"/>
          <w:szCs w:val="36"/>
        </w:rPr>
      </w:pPr>
      <w:r>
        <w:rPr>
          <w:rFonts w:hint="eastAsia" w:ascii="方正小标宋简体" w:hAnsi="宋体" w:eastAsia="方正小标宋简体" w:cs="方正小标宋简体"/>
          <w:kern w:val="0"/>
          <w:sz w:val="36"/>
          <w:szCs w:val="36"/>
        </w:rPr>
        <w:t>《四会市人民检察院工作报告》有关用语说明</w:t>
      </w:r>
    </w:p>
    <w:p>
      <w:pPr>
        <w:adjustRightInd w:val="0"/>
        <w:snapToGrid w:val="0"/>
        <w:spacing w:line="360" w:lineRule="auto"/>
        <w:ind w:firstLine="551" w:firstLineChars="196"/>
        <w:rPr>
          <w:rFonts w:eastAsia="仿宋_GB2312"/>
          <w:b/>
          <w:bCs/>
          <w:sz w:val="28"/>
          <w:szCs w:val="28"/>
        </w:rPr>
      </w:pPr>
      <w:r>
        <w:rPr>
          <w:rFonts w:ascii="仿宋_GB2312" w:eastAsia="仿宋_GB2312" w:cs="仿宋_GB2312"/>
          <w:b/>
          <w:bCs/>
          <w:sz w:val="28"/>
          <w:szCs w:val="28"/>
        </w:rPr>
        <w:t>1.</w:t>
      </w:r>
      <w:r>
        <w:rPr>
          <w:rFonts w:hint="eastAsia" w:ascii="仿宋_GB2312" w:eastAsia="仿宋_GB2312" w:cs="仿宋_GB2312"/>
          <w:b/>
          <w:bCs/>
          <w:sz w:val="28"/>
          <w:szCs w:val="28"/>
        </w:rPr>
        <w:t>司法救助：</w:t>
      </w:r>
      <w:r>
        <w:rPr>
          <w:rFonts w:hint="eastAsia" w:eastAsia="仿宋_GB2312" w:cs="仿宋_GB2312"/>
          <w:sz w:val="28"/>
          <w:szCs w:val="28"/>
        </w:rPr>
        <w:t>检察机关国家司法救助工作，是人民检察院在办理案件过程中，对遭受犯罪侵害或者民事侵权，无法通过诉讼获得有效赔偿，生活面临急迫困难的当事人采取的辅助性救济措施。开展国家司法救助是中国特色社会主义司法制度的内在要求，是改善民生、健全社会保障体系的重要组成部分。</w:t>
      </w:r>
    </w:p>
    <w:p>
      <w:pPr>
        <w:adjustRightInd w:val="0"/>
        <w:snapToGrid w:val="0"/>
        <w:spacing w:line="360" w:lineRule="auto"/>
        <w:ind w:firstLine="562" w:firstLineChars="200"/>
        <w:rPr>
          <w:rFonts w:eastAsia="仿宋_GB2312"/>
          <w:sz w:val="28"/>
          <w:szCs w:val="28"/>
        </w:rPr>
      </w:pPr>
      <w:r>
        <w:rPr>
          <w:rFonts w:ascii="仿宋_GB2312" w:eastAsia="仿宋_GB2312" w:cs="仿宋_GB2312"/>
          <w:b/>
          <w:bCs/>
          <w:sz w:val="28"/>
          <w:szCs w:val="28"/>
        </w:rPr>
        <w:t>2.</w:t>
      </w:r>
      <w:r>
        <w:rPr>
          <w:rFonts w:hint="eastAsia" w:ascii="仿宋_GB2312" w:eastAsia="仿宋_GB2312" w:cs="仿宋_GB2312"/>
          <w:b/>
          <w:bCs/>
          <w:sz w:val="28"/>
          <w:szCs w:val="28"/>
        </w:rPr>
        <w:t>一号检察建议：</w:t>
      </w:r>
      <w:r>
        <w:rPr>
          <w:rFonts w:eastAsia="仿宋_GB2312"/>
          <w:sz w:val="28"/>
          <w:szCs w:val="28"/>
        </w:rPr>
        <w:t>2018</w:t>
      </w:r>
      <w:r>
        <w:rPr>
          <w:rFonts w:hint="eastAsia" w:eastAsia="仿宋_GB2312" w:cs="仿宋_GB2312"/>
          <w:sz w:val="28"/>
          <w:szCs w:val="28"/>
        </w:rPr>
        <w:t>年</w:t>
      </w:r>
      <w:r>
        <w:rPr>
          <w:rFonts w:eastAsia="仿宋_GB2312"/>
          <w:sz w:val="28"/>
          <w:szCs w:val="28"/>
        </w:rPr>
        <w:t>10</w:t>
      </w:r>
      <w:r>
        <w:rPr>
          <w:rFonts w:hint="eastAsia" w:eastAsia="仿宋_GB2312" w:cs="仿宋_GB2312"/>
          <w:sz w:val="28"/>
          <w:szCs w:val="28"/>
        </w:rPr>
        <w:t>月，最高人民检察院向教育部发出《中华人民共和国最高人民检察院检察建议书》（简称</w:t>
      </w:r>
      <w:r>
        <w:rPr>
          <w:rFonts w:eastAsia="仿宋_GB2312"/>
          <w:sz w:val="28"/>
          <w:szCs w:val="28"/>
        </w:rPr>
        <w:t>“</w:t>
      </w:r>
      <w:r>
        <w:rPr>
          <w:rFonts w:hint="eastAsia" w:eastAsia="仿宋_GB2312" w:cs="仿宋_GB2312"/>
          <w:sz w:val="28"/>
          <w:szCs w:val="28"/>
        </w:rPr>
        <w:t>一号检察建议</w:t>
      </w:r>
      <w:r>
        <w:rPr>
          <w:rFonts w:eastAsia="仿宋_GB2312"/>
          <w:sz w:val="28"/>
          <w:szCs w:val="28"/>
        </w:rPr>
        <w:t>”</w:t>
      </w:r>
      <w:r>
        <w:rPr>
          <w:rFonts w:hint="eastAsia" w:eastAsia="仿宋_GB2312" w:cs="仿宋_GB2312"/>
          <w:sz w:val="28"/>
          <w:szCs w:val="28"/>
        </w:rPr>
        <w:t>）。这是最高人民检察院针对校园安全管理规定执行不严格，以及儿童和学生法治教育、预防性侵害教育缺位等问题而提出的首份关于社会治理的检察建议。</w:t>
      </w:r>
    </w:p>
    <w:p>
      <w:pPr>
        <w:adjustRightInd w:val="0"/>
        <w:snapToGrid w:val="0"/>
        <w:spacing w:line="360" w:lineRule="auto"/>
        <w:ind w:firstLine="562" w:firstLineChars="200"/>
        <w:rPr>
          <w:rFonts w:eastAsia="仿宋_GB2312"/>
          <w:sz w:val="28"/>
          <w:szCs w:val="28"/>
        </w:rPr>
      </w:pPr>
      <w:r>
        <w:rPr>
          <w:rFonts w:ascii="仿宋_GB2312" w:hAnsi="黑体" w:eastAsia="仿宋_GB2312" w:cs="仿宋_GB2312"/>
          <w:b/>
          <w:bCs/>
          <w:sz w:val="28"/>
          <w:szCs w:val="28"/>
        </w:rPr>
        <w:t>3.</w:t>
      </w:r>
      <w:r>
        <w:rPr>
          <w:rFonts w:hint="eastAsia" w:ascii="仿宋_GB2312" w:hAnsi="黑体" w:eastAsia="仿宋_GB2312" w:cs="仿宋_GB2312"/>
          <w:b/>
          <w:bCs/>
          <w:sz w:val="28"/>
          <w:szCs w:val="28"/>
        </w:rPr>
        <w:t>羁押必要性审查：</w:t>
      </w:r>
      <w:r>
        <w:rPr>
          <w:rFonts w:hint="eastAsia" w:eastAsia="仿宋_GB2312" w:cs="仿宋_GB2312"/>
          <w:sz w:val="28"/>
          <w:szCs w:val="28"/>
        </w:rPr>
        <w:t>对被逮捕的犯罪嫌疑人、被告人有无必要继续羁押，依法进行审查；对不需要继续羁押的，书面建议有关机关予以释放或变更强制措施。</w:t>
      </w:r>
    </w:p>
    <w:p>
      <w:pPr>
        <w:snapToGrid w:val="0"/>
        <w:spacing w:line="360" w:lineRule="auto"/>
        <w:ind w:firstLine="562" w:firstLineChars="200"/>
        <w:rPr>
          <w:rFonts w:ascii="仿宋_GB2312" w:hAnsi="宋体" w:eastAsia="仿宋_GB2312"/>
          <w:sz w:val="28"/>
          <w:szCs w:val="28"/>
        </w:rPr>
      </w:pPr>
      <w:r>
        <w:rPr>
          <w:rFonts w:ascii="仿宋_GB2312" w:hAnsi="宋体" w:eastAsia="仿宋_GB2312" w:cs="仿宋_GB2312"/>
          <w:b/>
          <w:bCs/>
          <w:sz w:val="28"/>
          <w:szCs w:val="28"/>
        </w:rPr>
        <w:t>4.</w:t>
      </w:r>
      <w:r>
        <w:rPr>
          <w:rFonts w:hint="eastAsia" w:ascii="仿宋_GB2312" w:hAnsi="宋体" w:eastAsia="仿宋_GB2312" w:cs="仿宋_GB2312"/>
          <w:b/>
          <w:bCs/>
          <w:sz w:val="28"/>
          <w:szCs w:val="28"/>
        </w:rPr>
        <w:t>捕诉一体：</w:t>
      </w:r>
      <w:r>
        <w:rPr>
          <w:rFonts w:hint="eastAsia" w:ascii="仿宋_GB2312" w:hAnsi="宋体" w:eastAsia="仿宋_GB2312" w:cs="仿宋_GB2312"/>
          <w:sz w:val="28"/>
          <w:szCs w:val="28"/>
        </w:rPr>
        <w:t>检察机关实行一类刑事案件由一个业务机构、一个办案组、一个主</w:t>
      </w:r>
      <w:r>
        <w:rPr>
          <w:rFonts w:hint="eastAsia" w:ascii="仿宋_GB2312" w:hAnsi="Calibri" w:eastAsia="仿宋_GB2312" w:cs="仿宋_GB2312"/>
          <w:sz w:val="28"/>
          <w:szCs w:val="28"/>
        </w:rPr>
        <w:t>办检察官负责到底，统一履行审查逮捕、审查起诉、</w:t>
      </w:r>
      <w:r>
        <w:rPr>
          <w:rFonts w:hint="eastAsia" w:ascii="仿宋_GB2312" w:hAnsi="宋体" w:eastAsia="仿宋_GB2312" w:cs="仿宋_GB2312"/>
          <w:sz w:val="28"/>
          <w:szCs w:val="28"/>
        </w:rPr>
        <w:t>补充侦查、支持公诉、诉讼监督等职能。</w:t>
      </w:r>
    </w:p>
    <w:p>
      <w:pPr>
        <w:snapToGrid w:val="0"/>
        <w:spacing w:line="360" w:lineRule="auto"/>
        <w:ind w:firstLine="562" w:firstLineChars="200"/>
        <w:rPr>
          <w:rFonts w:ascii="仿宋_GB2312" w:hAnsi="宋体" w:eastAsia="仿宋_GB2312"/>
          <w:sz w:val="28"/>
          <w:szCs w:val="28"/>
        </w:rPr>
      </w:pPr>
      <w:r>
        <w:rPr>
          <w:rFonts w:eastAsia="仿宋_GB2312"/>
          <w:b/>
          <w:bCs/>
          <w:sz w:val="28"/>
          <w:szCs w:val="28"/>
        </w:rPr>
        <w:t>5.</w:t>
      </w:r>
      <w:r>
        <w:rPr>
          <w:rFonts w:hint="eastAsia" w:eastAsia="仿宋_GB2312" w:cs="仿宋_GB2312"/>
          <w:b/>
          <w:bCs/>
          <w:sz w:val="28"/>
          <w:szCs w:val="28"/>
        </w:rPr>
        <w:t>认罪认罚从宽制度：</w:t>
      </w:r>
      <w:r>
        <w:rPr>
          <w:rFonts w:hint="eastAsia" w:eastAsia="仿宋_GB2312" w:cs="仿宋_GB2312"/>
          <w:sz w:val="28"/>
          <w:szCs w:val="28"/>
        </w:rPr>
        <w:t>指犯罪嫌疑人、被告人自愿如实供述自己的犯罪，对于指控犯罪事实没有异议，同意检察机关的量刑意见并签署具结书的案件，可以依法从宽处理。</w:t>
      </w:r>
      <w:r>
        <w:rPr>
          <w:rFonts w:eastAsia="仿宋_GB2312"/>
          <w:sz w:val="28"/>
          <w:szCs w:val="28"/>
        </w:rPr>
        <w:t>2019</w:t>
      </w:r>
      <w:r>
        <w:rPr>
          <w:rFonts w:hint="eastAsia" w:eastAsia="仿宋_GB2312" w:cs="仿宋_GB2312"/>
          <w:sz w:val="28"/>
          <w:szCs w:val="28"/>
        </w:rPr>
        <w:t>年</w:t>
      </w:r>
      <w:r>
        <w:rPr>
          <w:rFonts w:eastAsia="仿宋_GB2312"/>
          <w:sz w:val="28"/>
          <w:szCs w:val="28"/>
        </w:rPr>
        <w:t>10</w:t>
      </w:r>
      <w:r>
        <w:rPr>
          <w:rFonts w:hint="eastAsia" w:eastAsia="仿宋_GB2312" w:cs="仿宋_GB2312"/>
          <w:sz w:val="28"/>
          <w:szCs w:val="28"/>
        </w:rPr>
        <w:t>月</w:t>
      </w:r>
      <w:r>
        <w:rPr>
          <w:rFonts w:eastAsia="仿宋_GB2312"/>
          <w:sz w:val="28"/>
          <w:szCs w:val="28"/>
        </w:rPr>
        <w:t>24</w:t>
      </w:r>
      <w:r>
        <w:rPr>
          <w:rFonts w:hint="eastAsia" w:eastAsia="仿宋_GB2312" w:cs="仿宋_GB2312"/>
          <w:sz w:val="28"/>
          <w:szCs w:val="28"/>
        </w:rPr>
        <w:t>日，最高人民检察院联合最高人民法院、公安部、国家安全部、司法部召开新闻发布会，共同发布《关于适用认罪认罚从宽制度的指导意见》，对认罪认罚制度的基本原则、当事人权益保障等作了具体规定。</w:t>
      </w:r>
    </w:p>
    <w:p>
      <w:pPr>
        <w:snapToGrid w:val="0"/>
        <w:spacing w:line="360" w:lineRule="auto"/>
        <w:ind w:firstLine="562" w:firstLineChars="200"/>
        <w:rPr>
          <w:rFonts w:ascii="仿宋_GB2312" w:hAnsi="宋体" w:eastAsia="仿宋_GB2312"/>
          <w:sz w:val="28"/>
          <w:szCs w:val="28"/>
        </w:rPr>
      </w:pPr>
      <w:r>
        <w:rPr>
          <w:rFonts w:ascii="仿宋_GB2312" w:eastAsia="仿宋_GB2312" w:cs="仿宋_GB2312"/>
          <w:b/>
          <w:bCs/>
          <w:sz w:val="28"/>
          <w:szCs w:val="28"/>
        </w:rPr>
        <w:t>6.</w:t>
      </w:r>
      <w:r>
        <w:rPr>
          <w:rFonts w:hint="eastAsia" w:ascii="仿宋_GB2312" w:eastAsia="仿宋_GB2312" w:cs="仿宋_GB2312"/>
          <w:b/>
          <w:bCs/>
          <w:sz w:val="28"/>
          <w:szCs w:val="28"/>
        </w:rPr>
        <w:t>公益诉讼：</w:t>
      </w:r>
      <w:r>
        <w:rPr>
          <w:rFonts w:hint="eastAsia" w:ascii="仿宋_GB2312" w:hAnsi="Calibri" w:eastAsia="仿宋_GB2312" w:cs="仿宋_GB2312"/>
          <w:sz w:val="28"/>
          <w:szCs w:val="28"/>
        </w:rPr>
        <w:t>是指对损害国家和社会公共利益的违法行为，由法律规定的国家机关或组织向人民法院提起诉讼的制度，包括民事公益诉讼和行政公益诉讼。根据《行政诉讼法》，人民检察院在履行职责中发现生态环境和资源保护、食品药品安全、国有财产保护、国有土地使用权出让等领域负有监督管理职责的行政机关违法行使职权或者不作为，致使国家利益或者社会公共利益受到侵害的，应当向行政机关提出检察建议，督促其依法履行职责。行政机关不依法履行职责的，人民检察院依法向人民法院提起诉讼。根据《民事诉讼法》，人民检察院在履行职责中发现破坏生态环境和资源保护、食品药品安全领域侵害众多消费者合法权益等损害社会公共利益的行为，在没有法律规定的机关和组织或者法律规定的机关和组织不提起诉讼的情况下，可以向人民法院提起诉讼。法律规定的机关或者组织提起诉讼的，</w:t>
      </w:r>
      <w:r>
        <w:rPr>
          <w:rFonts w:hint="eastAsia" w:ascii="仿宋_GB2312" w:hAnsi="宋体" w:eastAsia="仿宋_GB2312" w:cs="仿宋_GB2312"/>
          <w:sz w:val="28"/>
          <w:szCs w:val="28"/>
        </w:rPr>
        <w:t>人民检察院可以支持起诉。根据《英雄烈士保护法》，对侵害英雄烈士的姓名、肖像、名誉、荣誉的行为，英雄烈士没有近亲属或者近亲属不提起诉讼的，检察机关可以依法向人民法院提起公益诉讼。</w:t>
      </w:r>
    </w:p>
    <w:p>
      <w:pPr>
        <w:snapToGrid w:val="0"/>
        <w:spacing w:line="360" w:lineRule="auto"/>
        <w:ind w:firstLine="562" w:firstLineChars="200"/>
        <w:rPr>
          <w:rFonts w:ascii="仿宋_GB2312" w:hAnsi="宋体" w:eastAsia="仿宋_GB2312"/>
          <w:sz w:val="28"/>
          <w:szCs w:val="28"/>
        </w:rPr>
      </w:pPr>
      <w:r>
        <w:rPr>
          <w:rFonts w:ascii="仿宋_GB2312" w:hAnsi="宋体" w:eastAsia="仿宋_GB2312" w:cs="仿宋_GB2312"/>
          <w:b/>
          <w:bCs/>
          <w:sz w:val="28"/>
          <w:szCs w:val="28"/>
        </w:rPr>
        <w:t>7.</w:t>
      </w:r>
      <w:r>
        <w:rPr>
          <w:rFonts w:hint="eastAsia" w:ascii="仿宋_GB2312" w:hAnsi="宋体" w:eastAsia="仿宋_GB2312" w:cs="仿宋_GB2312"/>
          <w:b/>
          <w:bCs/>
          <w:sz w:val="28"/>
          <w:szCs w:val="28"/>
        </w:rPr>
        <w:t>四个根本：</w:t>
      </w:r>
      <w:r>
        <w:rPr>
          <w:rFonts w:ascii="仿宋_GB2312" w:hAnsi="宋体" w:eastAsia="仿宋_GB2312" w:cs="仿宋_GB2312"/>
          <w:sz w:val="28"/>
          <w:szCs w:val="28"/>
        </w:rPr>
        <w:t>2020</w:t>
      </w:r>
      <w:r>
        <w:rPr>
          <w:rFonts w:hint="eastAsia" w:ascii="仿宋_GB2312" w:hAnsi="宋体" w:eastAsia="仿宋_GB2312" w:cs="仿宋_GB2312"/>
          <w:sz w:val="28"/>
          <w:szCs w:val="28"/>
        </w:rPr>
        <w:t>年</w:t>
      </w:r>
      <w:r>
        <w:rPr>
          <w:rFonts w:ascii="仿宋_GB2312" w:hAnsi="宋体" w:eastAsia="仿宋_GB2312" w:cs="仿宋_GB2312"/>
          <w:sz w:val="28"/>
          <w:szCs w:val="28"/>
        </w:rPr>
        <w:t>1</w:t>
      </w:r>
      <w:r>
        <w:rPr>
          <w:rFonts w:hint="eastAsia" w:ascii="仿宋_GB2312" w:hAnsi="宋体" w:eastAsia="仿宋_GB2312" w:cs="仿宋_GB2312"/>
          <w:sz w:val="28"/>
          <w:szCs w:val="28"/>
        </w:rPr>
        <w:t>月</w:t>
      </w:r>
      <w:r>
        <w:rPr>
          <w:rFonts w:ascii="仿宋_GB2312" w:hAnsi="宋体" w:eastAsia="仿宋_GB2312" w:cs="仿宋_GB2312"/>
          <w:sz w:val="28"/>
          <w:szCs w:val="28"/>
        </w:rPr>
        <w:t>8</w:t>
      </w:r>
      <w:r>
        <w:rPr>
          <w:rFonts w:hint="eastAsia" w:ascii="仿宋_GB2312" w:hAnsi="宋体" w:eastAsia="仿宋_GB2312" w:cs="仿宋_GB2312"/>
          <w:sz w:val="28"/>
          <w:szCs w:val="28"/>
        </w:rPr>
        <w:t>日，最高人民检察院召开党组扩大会，围绕贯彻落实习近平总书记重要讲话精神、把习近平新时代中国特色社会主义思想在新一年检察工作中落实落细，最高检党组书记、检察长张军提出“四个根本”的要求：贯彻落实习近平总书记系列重要讲话精神，根本在于坚持党的绝对领导，不断强化党的建设；贯彻落实习近平总书记系列重要讲话精神，根本在于勇于担当、善作善成；贯彻落实习近平总书记系列重要讲话精神，根本在于制度落实，不用扬鞭自奋蹄；贯彻落实习近平总书记系列重要讲话精神，根本在于队伍建设。</w:t>
      </w:r>
    </w:p>
    <w:p>
      <w:pPr>
        <w:snapToGrid w:val="0"/>
        <w:spacing w:line="360" w:lineRule="auto"/>
        <w:ind w:firstLine="560" w:firstLineChars="200"/>
        <w:rPr>
          <w:rFonts w:ascii="仿宋_GB2312" w:eastAsia="仿宋_GB2312"/>
          <w:sz w:val="28"/>
          <w:szCs w:val="28"/>
        </w:rPr>
      </w:pPr>
      <w:r>
        <w:rPr>
          <w:rFonts w:hint="eastAsia" w:ascii="仿宋_GB2312" w:eastAsia="仿宋_GB2312" w:cs="仿宋_GB2312"/>
          <w:sz w:val="28"/>
          <w:szCs w:val="28"/>
        </w:rPr>
        <w:t>各位代表如想了解更多检察工作，请扫描下面二维码，关注“正义四会”官方微信。</w:t>
      </w:r>
    </w:p>
    <w:p>
      <w:pPr>
        <w:snapToGrid w:val="0"/>
        <w:spacing w:line="360" w:lineRule="auto"/>
        <w:jc w:val="center"/>
        <w:rPr>
          <w:rFonts w:ascii="仿宋_GB2312" w:hAnsi="黑体" w:eastAsia="仿宋_GB2312"/>
          <w:b/>
          <w:bCs/>
          <w:sz w:val="28"/>
          <w:szCs w:val="28"/>
        </w:rPr>
      </w:pPr>
      <w:r>
        <w:rPr>
          <w:rFonts w:ascii="仿宋_GB2312" w:hAnsi="黑体" w:eastAsia="仿宋_GB2312"/>
          <w:b/>
          <w:bCs/>
          <w:sz w:val="28"/>
          <w:szCs w:val="28"/>
        </w:rPr>
        <w:pict>
          <v:shape id="_x0000_i1025" o:spt="75" type="#_x0000_t75" style="height:133.5pt;width:133.5pt;" filled="f" o:preferrelative="t" stroked="f" coordsize="21600,21600">
            <v:path/>
            <v:fill on="f" focussize="0,0"/>
            <v:stroke on="f" joinstyle="miter"/>
            <v:imagedata r:id="rId5" o:title=""/>
            <o:lock v:ext="edit" aspectratio="t"/>
            <w10:wrap type="none"/>
            <w10:anchorlock/>
          </v:shape>
        </w:pict>
      </w:r>
    </w:p>
    <w:p>
      <w:pPr>
        <w:adjustRightInd w:val="0"/>
        <w:snapToGrid w:val="0"/>
        <w:spacing w:line="360" w:lineRule="auto"/>
        <w:rPr>
          <w:rFonts w:ascii="仿宋_GB2312" w:hAnsi="仿宋_GB2312" w:eastAsia="仿宋_GB2312"/>
          <w:snapToGrid w:val="0"/>
          <w:sz w:val="32"/>
          <w:szCs w:val="32"/>
          <w:shd w:val="clear" w:color="auto" w:fill="FFFFFF"/>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2</w:t>
    </w:r>
    <w:r>
      <w:rPr>
        <w:rStyle w:val="6"/>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449CE"/>
    <w:rsid w:val="00000E58"/>
    <w:rsid w:val="00001C76"/>
    <w:rsid w:val="00003074"/>
    <w:rsid w:val="00003FCA"/>
    <w:rsid w:val="00004922"/>
    <w:rsid w:val="00004B1D"/>
    <w:rsid w:val="00014F8E"/>
    <w:rsid w:val="00020CC5"/>
    <w:rsid w:val="00024597"/>
    <w:rsid w:val="00026680"/>
    <w:rsid w:val="00033C12"/>
    <w:rsid w:val="00036C3A"/>
    <w:rsid w:val="00050423"/>
    <w:rsid w:val="0005207D"/>
    <w:rsid w:val="0005290C"/>
    <w:rsid w:val="000537B5"/>
    <w:rsid w:val="000548CD"/>
    <w:rsid w:val="0005632F"/>
    <w:rsid w:val="0005718F"/>
    <w:rsid w:val="0006079D"/>
    <w:rsid w:val="000617EF"/>
    <w:rsid w:val="00065880"/>
    <w:rsid w:val="00075CEC"/>
    <w:rsid w:val="00082B9B"/>
    <w:rsid w:val="00082CC3"/>
    <w:rsid w:val="00084AC6"/>
    <w:rsid w:val="00085C2D"/>
    <w:rsid w:val="000914C5"/>
    <w:rsid w:val="000917AE"/>
    <w:rsid w:val="00093B56"/>
    <w:rsid w:val="0009409D"/>
    <w:rsid w:val="000B14CF"/>
    <w:rsid w:val="000B25AE"/>
    <w:rsid w:val="000B2FBB"/>
    <w:rsid w:val="000C09A9"/>
    <w:rsid w:val="000C3609"/>
    <w:rsid w:val="000C3B36"/>
    <w:rsid w:val="000C3DCA"/>
    <w:rsid w:val="000C3E47"/>
    <w:rsid w:val="000C44A7"/>
    <w:rsid w:val="000D1D32"/>
    <w:rsid w:val="000D2B80"/>
    <w:rsid w:val="000D3D09"/>
    <w:rsid w:val="000D6BF9"/>
    <w:rsid w:val="000E0151"/>
    <w:rsid w:val="000F29D1"/>
    <w:rsid w:val="000F352E"/>
    <w:rsid w:val="000F3670"/>
    <w:rsid w:val="00101030"/>
    <w:rsid w:val="0010334D"/>
    <w:rsid w:val="00104DAD"/>
    <w:rsid w:val="00111771"/>
    <w:rsid w:val="00113F7B"/>
    <w:rsid w:val="00115A6F"/>
    <w:rsid w:val="00116CAC"/>
    <w:rsid w:val="00117C3A"/>
    <w:rsid w:val="001214B6"/>
    <w:rsid w:val="0012234D"/>
    <w:rsid w:val="00123C1B"/>
    <w:rsid w:val="00135BCC"/>
    <w:rsid w:val="001367C1"/>
    <w:rsid w:val="00137190"/>
    <w:rsid w:val="00140EDD"/>
    <w:rsid w:val="00141069"/>
    <w:rsid w:val="00142B3F"/>
    <w:rsid w:val="0014329F"/>
    <w:rsid w:val="00144D81"/>
    <w:rsid w:val="0015173C"/>
    <w:rsid w:val="00152C02"/>
    <w:rsid w:val="00152DCA"/>
    <w:rsid w:val="00154D16"/>
    <w:rsid w:val="001561C1"/>
    <w:rsid w:val="00164759"/>
    <w:rsid w:val="0016477F"/>
    <w:rsid w:val="00171AFE"/>
    <w:rsid w:val="00173181"/>
    <w:rsid w:val="00175A85"/>
    <w:rsid w:val="001800B6"/>
    <w:rsid w:val="0018069A"/>
    <w:rsid w:val="00180D18"/>
    <w:rsid w:val="00181A85"/>
    <w:rsid w:val="00181FE8"/>
    <w:rsid w:val="00182F18"/>
    <w:rsid w:val="00190607"/>
    <w:rsid w:val="0019134B"/>
    <w:rsid w:val="001A072B"/>
    <w:rsid w:val="001A0F69"/>
    <w:rsid w:val="001A1EBF"/>
    <w:rsid w:val="001A3F5B"/>
    <w:rsid w:val="001A4AC3"/>
    <w:rsid w:val="001A658F"/>
    <w:rsid w:val="001A7B77"/>
    <w:rsid w:val="001B00B4"/>
    <w:rsid w:val="001B18EF"/>
    <w:rsid w:val="001B24B5"/>
    <w:rsid w:val="001B3D2E"/>
    <w:rsid w:val="001B4861"/>
    <w:rsid w:val="001D076E"/>
    <w:rsid w:val="001D34A1"/>
    <w:rsid w:val="001E1AB9"/>
    <w:rsid w:val="001E3E71"/>
    <w:rsid w:val="001E4C0B"/>
    <w:rsid w:val="001E5A46"/>
    <w:rsid w:val="001E705B"/>
    <w:rsid w:val="001F01DE"/>
    <w:rsid w:val="001F105F"/>
    <w:rsid w:val="001F4BC2"/>
    <w:rsid w:val="001F5BB3"/>
    <w:rsid w:val="001F7643"/>
    <w:rsid w:val="002008AF"/>
    <w:rsid w:val="002053ED"/>
    <w:rsid w:val="00212236"/>
    <w:rsid w:val="002220A4"/>
    <w:rsid w:val="00225256"/>
    <w:rsid w:val="0022531F"/>
    <w:rsid w:val="00226476"/>
    <w:rsid w:val="002279D6"/>
    <w:rsid w:val="002309CA"/>
    <w:rsid w:val="00235638"/>
    <w:rsid w:val="00237B68"/>
    <w:rsid w:val="0024083C"/>
    <w:rsid w:val="00241C05"/>
    <w:rsid w:val="00241D9F"/>
    <w:rsid w:val="00241F87"/>
    <w:rsid w:val="00243A62"/>
    <w:rsid w:val="002442B6"/>
    <w:rsid w:val="002455C3"/>
    <w:rsid w:val="002479A8"/>
    <w:rsid w:val="002545AE"/>
    <w:rsid w:val="00254850"/>
    <w:rsid w:val="002548E5"/>
    <w:rsid w:val="00260551"/>
    <w:rsid w:val="002670B6"/>
    <w:rsid w:val="002735F6"/>
    <w:rsid w:val="00273CF9"/>
    <w:rsid w:val="00273D52"/>
    <w:rsid w:val="00274906"/>
    <w:rsid w:val="00276E68"/>
    <w:rsid w:val="0028024F"/>
    <w:rsid w:val="002819D8"/>
    <w:rsid w:val="00286F4E"/>
    <w:rsid w:val="00293F88"/>
    <w:rsid w:val="002A01A1"/>
    <w:rsid w:val="002A233F"/>
    <w:rsid w:val="002A6D6F"/>
    <w:rsid w:val="002B4E34"/>
    <w:rsid w:val="002B5A57"/>
    <w:rsid w:val="002C0621"/>
    <w:rsid w:val="002C0A77"/>
    <w:rsid w:val="002C3F46"/>
    <w:rsid w:val="002D446E"/>
    <w:rsid w:val="002D61D5"/>
    <w:rsid w:val="002E225A"/>
    <w:rsid w:val="002E2BED"/>
    <w:rsid w:val="002E4911"/>
    <w:rsid w:val="002F0A0D"/>
    <w:rsid w:val="002F1A3D"/>
    <w:rsid w:val="00302D65"/>
    <w:rsid w:val="00305894"/>
    <w:rsid w:val="00311BCF"/>
    <w:rsid w:val="00311D4B"/>
    <w:rsid w:val="00313324"/>
    <w:rsid w:val="00313505"/>
    <w:rsid w:val="0031466E"/>
    <w:rsid w:val="00322759"/>
    <w:rsid w:val="00325141"/>
    <w:rsid w:val="00327129"/>
    <w:rsid w:val="00337832"/>
    <w:rsid w:val="003430BF"/>
    <w:rsid w:val="00347EF6"/>
    <w:rsid w:val="00353E80"/>
    <w:rsid w:val="003649EC"/>
    <w:rsid w:val="00365E86"/>
    <w:rsid w:val="00367747"/>
    <w:rsid w:val="00370AB7"/>
    <w:rsid w:val="003717D8"/>
    <w:rsid w:val="003733AD"/>
    <w:rsid w:val="00373F16"/>
    <w:rsid w:val="003754A3"/>
    <w:rsid w:val="0038093F"/>
    <w:rsid w:val="00382A63"/>
    <w:rsid w:val="00386CBC"/>
    <w:rsid w:val="00387337"/>
    <w:rsid w:val="00390AB7"/>
    <w:rsid w:val="0039149F"/>
    <w:rsid w:val="00391CB8"/>
    <w:rsid w:val="0039312A"/>
    <w:rsid w:val="00395470"/>
    <w:rsid w:val="00395FA7"/>
    <w:rsid w:val="00397FEF"/>
    <w:rsid w:val="003A393F"/>
    <w:rsid w:val="003A3F37"/>
    <w:rsid w:val="003A44FA"/>
    <w:rsid w:val="003A4737"/>
    <w:rsid w:val="003A65BD"/>
    <w:rsid w:val="003B0F18"/>
    <w:rsid w:val="003C08D0"/>
    <w:rsid w:val="003C49AC"/>
    <w:rsid w:val="003D0667"/>
    <w:rsid w:val="003D5967"/>
    <w:rsid w:val="003D6B86"/>
    <w:rsid w:val="003E33A6"/>
    <w:rsid w:val="003E575C"/>
    <w:rsid w:val="003E7FC0"/>
    <w:rsid w:val="003F039F"/>
    <w:rsid w:val="003F7588"/>
    <w:rsid w:val="003F7E04"/>
    <w:rsid w:val="00403F03"/>
    <w:rsid w:val="00407775"/>
    <w:rsid w:val="00414D6F"/>
    <w:rsid w:val="00415585"/>
    <w:rsid w:val="004163CC"/>
    <w:rsid w:val="004169ED"/>
    <w:rsid w:val="00416B54"/>
    <w:rsid w:val="00420668"/>
    <w:rsid w:val="00427549"/>
    <w:rsid w:val="00435960"/>
    <w:rsid w:val="00435A2F"/>
    <w:rsid w:val="0043782E"/>
    <w:rsid w:val="00440691"/>
    <w:rsid w:val="00440B70"/>
    <w:rsid w:val="004410AC"/>
    <w:rsid w:val="004422F1"/>
    <w:rsid w:val="00442B8A"/>
    <w:rsid w:val="00444EA1"/>
    <w:rsid w:val="00461A5D"/>
    <w:rsid w:val="00472033"/>
    <w:rsid w:val="0047359F"/>
    <w:rsid w:val="004756DD"/>
    <w:rsid w:val="00476EEF"/>
    <w:rsid w:val="0048381F"/>
    <w:rsid w:val="004852A4"/>
    <w:rsid w:val="00493C45"/>
    <w:rsid w:val="00494344"/>
    <w:rsid w:val="004A0A6C"/>
    <w:rsid w:val="004A0EE4"/>
    <w:rsid w:val="004A3714"/>
    <w:rsid w:val="004A5243"/>
    <w:rsid w:val="004A5E89"/>
    <w:rsid w:val="004A7733"/>
    <w:rsid w:val="004B08C3"/>
    <w:rsid w:val="004B1912"/>
    <w:rsid w:val="004B2708"/>
    <w:rsid w:val="004B55F5"/>
    <w:rsid w:val="004B5D53"/>
    <w:rsid w:val="004C11DF"/>
    <w:rsid w:val="004C17F0"/>
    <w:rsid w:val="004C38D0"/>
    <w:rsid w:val="004C47CE"/>
    <w:rsid w:val="004C6881"/>
    <w:rsid w:val="004D13AC"/>
    <w:rsid w:val="004D16A1"/>
    <w:rsid w:val="004D316B"/>
    <w:rsid w:val="004D330F"/>
    <w:rsid w:val="004D5CCC"/>
    <w:rsid w:val="004D6696"/>
    <w:rsid w:val="004E6BF9"/>
    <w:rsid w:val="004E6E42"/>
    <w:rsid w:val="004F3025"/>
    <w:rsid w:val="004F3032"/>
    <w:rsid w:val="004F57B7"/>
    <w:rsid w:val="004F5DB2"/>
    <w:rsid w:val="004F74FC"/>
    <w:rsid w:val="00502ECE"/>
    <w:rsid w:val="00504438"/>
    <w:rsid w:val="005155D1"/>
    <w:rsid w:val="00516348"/>
    <w:rsid w:val="00520D98"/>
    <w:rsid w:val="00522A43"/>
    <w:rsid w:val="00524433"/>
    <w:rsid w:val="005260F5"/>
    <w:rsid w:val="00526D94"/>
    <w:rsid w:val="00527336"/>
    <w:rsid w:val="00527536"/>
    <w:rsid w:val="005449CE"/>
    <w:rsid w:val="005473AA"/>
    <w:rsid w:val="00550B2C"/>
    <w:rsid w:val="00551321"/>
    <w:rsid w:val="00554298"/>
    <w:rsid w:val="005543C2"/>
    <w:rsid w:val="00554BD2"/>
    <w:rsid w:val="00564BD7"/>
    <w:rsid w:val="00566950"/>
    <w:rsid w:val="0056722F"/>
    <w:rsid w:val="00570CBA"/>
    <w:rsid w:val="00571DD3"/>
    <w:rsid w:val="00573834"/>
    <w:rsid w:val="0057456B"/>
    <w:rsid w:val="005755D9"/>
    <w:rsid w:val="005825D3"/>
    <w:rsid w:val="00584A23"/>
    <w:rsid w:val="005864E7"/>
    <w:rsid w:val="0058796C"/>
    <w:rsid w:val="00591EEE"/>
    <w:rsid w:val="00595528"/>
    <w:rsid w:val="00597D50"/>
    <w:rsid w:val="00597EBE"/>
    <w:rsid w:val="005A4AC0"/>
    <w:rsid w:val="005B01FA"/>
    <w:rsid w:val="005B6837"/>
    <w:rsid w:val="005C139C"/>
    <w:rsid w:val="005C5EDA"/>
    <w:rsid w:val="005C704D"/>
    <w:rsid w:val="005D152E"/>
    <w:rsid w:val="005D1E22"/>
    <w:rsid w:val="005D374E"/>
    <w:rsid w:val="005E77AB"/>
    <w:rsid w:val="005F024F"/>
    <w:rsid w:val="005F29BC"/>
    <w:rsid w:val="005F3794"/>
    <w:rsid w:val="005F7854"/>
    <w:rsid w:val="005F7BE2"/>
    <w:rsid w:val="00600B47"/>
    <w:rsid w:val="0060492A"/>
    <w:rsid w:val="00606D9A"/>
    <w:rsid w:val="00607B62"/>
    <w:rsid w:val="00611284"/>
    <w:rsid w:val="00612255"/>
    <w:rsid w:val="00615667"/>
    <w:rsid w:val="0062094F"/>
    <w:rsid w:val="00623EF9"/>
    <w:rsid w:val="00625764"/>
    <w:rsid w:val="00634BEC"/>
    <w:rsid w:val="0063715F"/>
    <w:rsid w:val="00640560"/>
    <w:rsid w:val="00646BB5"/>
    <w:rsid w:val="00646E7C"/>
    <w:rsid w:val="00647151"/>
    <w:rsid w:val="00647FBF"/>
    <w:rsid w:val="006546C8"/>
    <w:rsid w:val="006562BC"/>
    <w:rsid w:val="00671D5C"/>
    <w:rsid w:val="00672E7B"/>
    <w:rsid w:val="00675370"/>
    <w:rsid w:val="00676349"/>
    <w:rsid w:val="0067636F"/>
    <w:rsid w:val="00677A8D"/>
    <w:rsid w:val="00680EEF"/>
    <w:rsid w:val="00681CF6"/>
    <w:rsid w:val="0069303A"/>
    <w:rsid w:val="0069505F"/>
    <w:rsid w:val="006A185D"/>
    <w:rsid w:val="006A5ED1"/>
    <w:rsid w:val="006B2487"/>
    <w:rsid w:val="006B2C40"/>
    <w:rsid w:val="006B30F8"/>
    <w:rsid w:val="006B3B47"/>
    <w:rsid w:val="006B48DF"/>
    <w:rsid w:val="006B6CAA"/>
    <w:rsid w:val="006C1B2F"/>
    <w:rsid w:val="006C3BE9"/>
    <w:rsid w:val="006C4DC0"/>
    <w:rsid w:val="006C500C"/>
    <w:rsid w:val="006C573C"/>
    <w:rsid w:val="006C688D"/>
    <w:rsid w:val="006D6E6D"/>
    <w:rsid w:val="006E07DC"/>
    <w:rsid w:val="006E0AC5"/>
    <w:rsid w:val="006E1E35"/>
    <w:rsid w:val="006E2B98"/>
    <w:rsid w:val="006E3B1D"/>
    <w:rsid w:val="006E4ACB"/>
    <w:rsid w:val="006E6B93"/>
    <w:rsid w:val="006E7BBC"/>
    <w:rsid w:val="006F0BC6"/>
    <w:rsid w:val="006F26C6"/>
    <w:rsid w:val="006F2910"/>
    <w:rsid w:val="006F38C2"/>
    <w:rsid w:val="006F5054"/>
    <w:rsid w:val="00702097"/>
    <w:rsid w:val="00705E91"/>
    <w:rsid w:val="007070C0"/>
    <w:rsid w:val="007070E3"/>
    <w:rsid w:val="00710B53"/>
    <w:rsid w:val="007142CD"/>
    <w:rsid w:val="007173B0"/>
    <w:rsid w:val="00717516"/>
    <w:rsid w:val="0072177A"/>
    <w:rsid w:val="00722FCA"/>
    <w:rsid w:val="00727BF7"/>
    <w:rsid w:val="00730C7C"/>
    <w:rsid w:val="00732B22"/>
    <w:rsid w:val="00737BD6"/>
    <w:rsid w:val="00737C25"/>
    <w:rsid w:val="00742EA6"/>
    <w:rsid w:val="007471D6"/>
    <w:rsid w:val="0075494A"/>
    <w:rsid w:val="00756BB7"/>
    <w:rsid w:val="00764958"/>
    <w:rsid w:val="00767A29"/>
    <w:rsid w:val="00773F08"/>
    <w:rsid w:val="00774F7D"/>
    <w:rsid w:val="00780C64"/>
    <w:rsid w:val="00781CDA"/>
    <w:rsid w:val="00782E68"/>
    <w:rsid w:val="00782E72"/>
    <w:rsid w:val="00783EA6"/>
    <w:rsid w:val="00786B1B"/>
    <w:rsid w:val="007908F0"/>
    <w:rsid w:val="007929C5"/>
    <w:rsid w:val="00794D97"/>
    <w:rsid w:val="00795785"/>
    <w:rsid w:val="00797837"/>
    <w:rsid w:val="00797EE1"/>
    <w:rsid w:val="007A57E7"/>
    <w:rsid w:val="007A5B31"/>
    <w:rsid w:val="007A639F"/>
    <w:rsid w:val="007A6B4B"/>
    <w:rsid w:val="007B7097"/>
    <w:rsid w:val="007C0EF0"/>
    <w:rsid w:val="007C3546"/>
    <w:rsid w:val="007D075F"/>
    <w:rsid w:val="007D0B4E"/>
    <w:rsid w:val="007D28CD"/>
    <w:rsid w:val="007D5404"/>
    <w:rsid w:val="007D5F3D"/>
    <w:rsid w:val="007E103D"/>
    <w:rsid w:val="007E5CD3"/>
    <w:rsid w:val="007E5E35"/>
    <w:rsid w:val="007E783F"/>
    <w:rsid w:val="007F212D"/>
    <w:rsid w:val="007F44AB"/>
    <w:rsid w:val="007F5388"/>
    <w:rsid w:val="0080145F"/>
    <w:rsid w:val="00802C31"/>
    <w:rsid w:val="00803A17"/>
    <w:rsid w:val="00803FC2"/>
    <w:rsid w:val="008068E7"/>
    <w:rsid w:val="00806D89"/>
    <w:rsid w:val="00807ABC"/>
    <w:rsid w:val="0081168C"/>
    <w:rsid w:val="00811E0E"/>
    <w:rsid w:val="008152BD"/>
    <w:rsid w:val="00817E9A"/>
    <w:rsid w:val="00821D2D"/>
    <w:rsid w:val="00822B88"/>
    <w:rsid w:val="00826107"/>
    <w:rsid w:val="0083047D"/>
    <w:rsid w:val="008304BF"/>
    <w:rsid w:val="0083065D"/>
    <w:rsid w:val="00837774"/>
    <w:rsid w:val="00840E31"/>
    <w:rsid w:val="008412A0"/>
    <w:rsid w:val="00841E60"/>
    <w:rsid w:val="00846A67"/>
    <w:rsid w:val="00846FC9"/>
    <w:rsid w:val="008472A2"/>
    <w:rsid w:val="00847806"/>
    <w:rsid w:val="008541EE"/>
    <w:rsid w:val="00854C8E"/>
    <w:rsid w:val="008558E6"/>
    <w:rsid w:val="008605B5"/>
    <w:rsid w:val="0086144E"/>
    <w:rsid w:val="00863E87"/>
    <w:rsid w:val="0086739D"/>
    <w:rsid w:val="00871D47"/>
    <w:rsid w:val="00873138"/>
    <w:rsid w:val="00873849"/>
    <w:rsid w:val="00874056"/>
    <w:rsid w:val="00886208"/>
    <w:rsid w:val="0089195C"/>
    <w:rsid w:val="00897D0B"/>
    <w:rsid w:val="008A0593"/>
    <w:rsid w:val="008A216E"/>
    <w:rsid w:val="008A32D4"/>
    <w:rsid w:val="008A51E4"/>
    <w:rsid w:val="008A62F7"/>
    <w:rsid w:val="008B24F6"/>
    <w:rsid w:val="008B4822"/>
    <w:rsid w:val="008C0226"/>
    <w:rsid w:val="008C0379"/>
    <w:rsid w:val="008C279F"/>
    <w:rsid w:val="008C32E8"/>
    <w:rsid w:val="008C4725"/>
    <w:rsid w:val="008D425E"/>
    <w:rsid w:val="008D56E2"/>
    <w:rsid w:val="008D603B"/>
    <w:rsid w:val="008E2A27"/>
    <w:rsid w:val="008E5A1C"/>
    <w:rsid w:val="008E5B02"/>
    <w:rsid w:val="008E75F0"/>
    <w:rsid w:val="008F3CED"/>
    <w:rsid w:val="008F751A"/>
    <w:rsid w:val="00900A2B"/>
    <w:rsid w:val="00901DFE"/>
    <w:rsid w:val="0090478D"/>
    <w:rsid w:val="00904EFF"/>
    <w:rsid w:val="00905008"/>
    <w:rsid w:val="009069E7"/>
    <w:rsid w:val="00911175"/>
    <w:rsid w:val="00914FF8"/>
    <w:rsid w:val="00915882"/>
    <w:rsid w:val="00916245"/>
    <w:rsid w:val="009177A1"/>
    <w:rsid w:val="00920855"/>
    <w:rsid w:val="009215CD"/>
    <w:rsid w:val="009221AB"/>
    <w:rsid w:val="00923463"/>
    <w:rsid w:val="009256CC"/>
    <w:rsid w:val="00925893"/>
    <w:rsid w:val="00925CE2"/>
    <w:rsid w:val="009270CF"/>
    <w:rsid w:val="0093199E"/>
    <w:rsid w:val="00932C85"/>
    <w:rsid w:val="00936DEC"/>
    <w:rsid w:val="0094159A"/>
    <w:rsid w:val="009421C5"/>
    <w:rsid w:val="00944B5A"/>
    <w:rsid w:val="009454CC"/>
    <w:rsid w:val="0094571F"/>
    <w:rsid w:val="00946EB4"/>
    <w:rsid w:val="0094754C"/>
    <w:rsid w:val="0095038E"/>
    <w:rsid w:val="00950E33"/>
    <w:rsid w:val="00951498"/>
    <w:rsid w:val="00952A59"/>
    <w:rsid w:val="0095501D"/>
    <w:rsid w:val="00955081"/>
    <w:rsid w:val="009575C3"/>
    <w:rsid w:val="00961F83"/>
    <w:rsid w:val="00963198"/>
    <w:rsid w:val="009641D6"/>
    <w:rsid w:val="009675A4"/>
    <w:rsid w:val="00972A55"/>
    <w:rsid w:val="00977C19"/>
    <w:rsid w:val="009807D4"/>
    <w:rsid w:val="009812A6"/>
    <w:rsid w:val="009855E0"/>
    <w:rsid w:val="009931ED"/>
    <w:rsid w:val="00995308"/>
    <w:rsid w:val="009A1AE1"/>
    <w:rsid w:val="009A3B94"/>
    <w:rsid w:val="009A4726"/>
    <w:rsid w:val="009A6D76"/>
    <w:rsid w:val="009A7627"/>
    <w:rsid w:val="009A7B04"/>
    <w:rsid w:val="009B17BF"/>
    <w:rsid w:val="009B40DE"/>
    <w:rsid w:val="009C04FE"/>
    <w:rsid w:val="009C41DB"/>
    <w:rsid w:val="009D77FB"/>
    <w:rsid w:val="009E2165"/>
    <w:rsid w:val="009E51AB"/>
    <w:rsid w:val="009E5655"/>
    <w:rsid w:val="009E748C"/>
    <w:rsid w:val="009F23BE"/>
    <w:rsid w:val="009F678A"/>
    <w:rsid w:val="009F7AE8"/>
    <w:rsid w:val="00A00DD6"/>
    <w:rsid w:val="00A01BE8"/>
    <w:rsid w:val="00A03191"/>
    <w:rsid w:val="00A07346"/>
    <w:rsid w:val="00A1049E"/>
    <w:rsid w:val="00A10C1F"/>
    <w:rsid w:val="00A14C65"/>
    <w:rsid w:val="00A15512"/>
    <w:rsid w:val="00A159A1"/>
    <w:rsid w:val="00A17971"/>
    <w:rsid w:val="00A20FB8"/>
    <w:rsid w:val="00A30E70"/>
    <w:rsid w:val="00A312C6"/>
    <w:rsid w:val="00A326A2"/>
    <w:rsid w:val="00A33229"/>
    <w:rsid w:val="00A40413"/>
    <w:rsid w:val="00A43EB5"/>
    <w:rsid w:val="00A43F44"/>
    <w:rsid w:val="00A462D1"/>
    <w:rsid w:val="00A46631"/>
    <w:rsid w:val="00A466CA"/>
    <w:rsid w:val="00A469AC"/>
    <w:rsid w:val="00A47017"/>
    <w:rsid w:val="00A61CDF"/>
    <w:rsid w:val="00A67B7A"/>
    <w:rsid w:val="00A71A73"/>
    <w:rsid w:val="00A774E9"/>
    <w:rsid w:val="00A82604"/>
    <w:rsid w:val="00A83802"/>
    <w:rsid w:val="00A86D21"/>
    <w:rsid w:val="00A87352"/>
    <w:rsid w:val="00A90E5E"/>
    <w:rsid w:val="00A91DD9"/>
    <w:rsid w:val="00A93777"/>
    <w:rsid w:val="00A95D76"/>
    <w:rsid w:val="00A97349"/>
    <w:rsid w:val="00AA1337"/>
    <w:rsid w:val="00AA2353"/>
    <w:rsid w:val="00AA23B2"/>
    <w:rsid w:val="00AA31DF"/>
    <w:rsid w:val="00AA4602"/>
    <w:rsid w:val="00AA5036"/>
    <w:rsid w:val="00AA5E68"/>
    <w:rsid w:val="00AB1B0F"/>
    <w:rsid w:val="00AB1D34"/>
    <w:rsid w:val="00AB1E3A"/>
    <w:rsid w:val="00AB31AE"/>
    <w:rsid w:val="00AB3390"/>
    <w:rsid w:val="00AB7478"/>
    <w:rsid w:val="00AC0A99"/>
    <w:rsid w:val="00AC1F5A"/>
    <w:rsid w:val="00AC64D1"/>
    <w:rsid w:val="00AC6A44"/>
    <w:rsid w:val="00AD2CF7"/>
    <w:rsid w:val="00AD33B6"/>
    <w:rsid w:val="00AD5A85"/>
    <w:rsid w:val="00AD5F58"/>
    <w:rsid w:val="00AE18FB"/>
    <w:rsid w:val="00AE1E51"/>
    <w:rsid w:val="00AE2F44"/>
    <w:rsid w:val="00AE3A5B"/>
    <w:rsid w:val="00AE4425"/>
    <w:rsid w:val="00AE5911"/>
    <w:rsid w:val="00AE7626"/>
    <w:rsid w:val="00AF0BEE"/>
    <w:rsid w:val="00AF0FAC"/>
    <w:rsid w:val="00AF14FE"/>
    <w:rsid w:val="00AF1B29"/>
    <w:rsid w:val="00AF1F99"/>
    <w:rsid w:val="00AF3260"/>
    <w:rsid w:val="00AF7C73"/>
    <w:rsid w:val="00B008D3"/>
    <w:rsid w:val="00B03778"/>
    <w:rsid w:val="00B04A04"/>
    <w:rsid w:val="00B05938"/>
    <w:rsid w:val="00B10F7A"/>
    <w:rsid w:val="00B158BC"/>
    <w:rsid w:val="00B16575"/>
    <w:rsid w:val="00B1756F"/>
    <w:rsid w:val="00B210F9"/>
    <w:rsid w:val="00B21ACA"/>
    <w:rsid w:val="00B305AC"/>
    <w:rsid w:val="00B31789"/>
    <w:rsid w:val="00B3337F"/>
    <w:rsid w:val="00B37B66"/>
    <w:rsid w:val="00B419C0"/>
    <w:rsid w:val="00B44360"/>
    <w:rsid w:val="00B44F8A"/>
    <w:rsid w:val="00B525EF"/>
    <w:rsid w:val="00B540E2"/>
    <w:rsid w:val="00B550D0"/>
    <w:rsid w:val="00B57F41"/>
    <w:rsid w:val="00B615E3"/>
    <w:rsid w:val="00B63D47"/>
    <w:rsid w:val="00B66F93"/>
    <w:rsid w:val="00B707AE"/>
    <w:rsid w:val="00B71F69"/>
    <w:rsid w:val="00B80231"/>
    <w:rsid w:val="00B8137D"/>
    <w:rsid w:val="00B923B4"/>
    <w:rsid w:val="00BA5C13"/>
    <w:rsid w:val="00BB1D1B"/>
    <w:rsid w:val="00BB5713"/>
    <w:rsid w:val="00BC0B67"/>
    <w:rsid w:val="00BD0307"/>
    <w:rsid w:val="00BD07EE"/>
    <w:rsid w:val="00BD24CC"/>
    <w:rsid w:val="00BD3DE4"/>
    <w:rsid w:val="00BD53C3"/>
    <w:rsid w:val="00BD56C5"/>
    <w:rsid w:val="00BF0016"/>
    <w:rsid w:val="00BF016B"/>
    <w:rsid w:val="00BF2F27"/>
    <w:rsid w:val="00BF317D"/>
    <w:rsid w:val="00BF6802"/>
    <w:rsid w:val="00BF7CD9"/>
    <w:rsid w:val="00C03494"/>
    <w:rsid w:val="00C04DA9"/>
    <w:rsid w:val="00C140B7"/>
    <w:rsid w:val="00C17BA9"/>
    <w:rsid w:val="00C2033E"/>
    <w:rsid w:val="00C20752"/>
    <w:rsid w:val="00C241B3"/>
    <w:rsid w:val="00C2730D"/>
    <w:rsid w:val="00C2742A"/>
    <w:rsid w:val="00C275CB"/>
    <w:rsid w:val="00C30242"/>
    <w:rsid w:val="00C30243"/>
    <w:rsid w:val="00C340A3"/>
    <w:rsid w:val="00C3488E"/>
    <w:rsid w:val="00C355DC"/>
    <w:rsid w:val="00C42D8F"/>
    <w:rsid w:val="00C50379"/>
    <w:rsid w:val="00C50417"/>
    <w:rsid w:val="00C507A3"/>
    <w:rsid w:val="00C5157C"/>
    <w:rsid w:val="00C51A16"/>
    <w:rsid w:val="00C53757"/>
    <w:rsid w:val="00C548D8"/>
    <w:rsid w:val="00C61AD6"/>
    <w:rsid w:val="00C639AC"/>
    <w:rsid w:val="00C64150"/>
    <w:rsid w:val="00C72798"/>
    <w:rsid w:val="00C72DFA"/>
    <w:rsid w:val="00C76511"/>
    <w:rsid w:val="00C83BF4"/>
    <w:rsid w:val="00C970E1"/>
    <w:rsid w:val="00CA1BB4"/>
    <w:rsid w:val="00CA424F"/>
    <w:rsid w:val="00CB073C"/>
    <w:rsid w:val="00CB0740"/>
    <w:rsid w:val="00CC0097"/>
    <w:rsid w:val="00CC0837"/>
    <w:rsid w:val="00CC410A"/>
    <w:rsid w:val="00CC6429"/>
    <w:rsid w:val="00CD21F8"/>
    <w:rsid w:val="00CD5FE4"/>
    <w:rsid w:val="00CD6858"/>
    <w:rsid w:val="00CE6A08"/>
    <w:rsid w:val="00CF30EA"/>
    <w:rsid w:val="00CF4764"/>
    <w:rsid w:val="00CF4995"/>
    <w:rsid w:val="00D01FEE"/>
    <w:rsid w:val="00D031B7"/>
    <w:rsid w:val="00D07370"/>
    <w:rsid w:val="00D114CC"/>
    <w:rsid w:val="00D13882"/>
    <w:rsid w:val="00D157ED"/>
    <w:rsid w:val="00D20DE8"/>
    <w:rsid w:val="00D212F8"/>
    <w:rsid w:val="00D23576"/>
    <w:rsid w:val="00D324E6"/>
    <w:rsid w:val="00D32AF6"/>
    <w:rsid w:val="00D37206"/>
    <w:rsid w:val="00D4007D"/>
    <w:rsid w:val="00D416C8"/>
    <w:rsid w:val="00D460D9"/>
    <w:rsid w:val="00D46ABE"/>
    <w:rsid w:val="00D50EF9"/>
    <w:rsid w:val="00D52DE9"/>
    <w:rsid w:val="00D52EED"/>
    <w:rsid w:val="00D5431D"/>
    <w:rsid w:val="00D61A59"/>
    <w:rsid w:val="00D62A1A"/>
    <w:rsid w:val="00D650CC"/>
    <w:rsid w:val="00D65435"/>
    <w:rsid w:val="00D6551C"/>
    <w:rsid w:val="00D655FA"/>
    <w:rsid w:val="00D70E85"/>
    <w:rsid w:val="00D72F34"/>
    <w:rsid w:val="00D75E7A"/>
    <w:rsid w:val="00D76A23"/>
    <w:rsid w:val="00D77A69"/>
    <w:rsid w:val="00D82D31"/>
    <w:rsid w:val="00D85BCB"/>
    <w:rsid w:val="00D8613A"/>
    <w:rsid w:val="00D95485"/>
    <w:rsid w:val="00D95AE6"/>
    <w:rsid w:val="00D96C82"/>
    <w:rsid w:val="00D97551"/>
    <w:rsid w:val="00D97CB5"/>
    <w:rsid w:val="00DA1FCB"/>
    <w:rsid w:val="00DA229D"/>
    <w:rsid w:val="00DA27F6"/>
    <w:rsid w:val="00DA5A40"/>
    <w:rsid w:val="00DB2FED"/>
    <w:rsid w:val="00DB3573"/>
    <w:rsid w:val="00DB63C0"/>
    <w:rsid w:val="00DB7F1B"/>
    <w:rsid w:val="00DC24EE"/>
    <w:rsid w:val="00DC3BD8"/>
    <w:rsid w:val="00DD7417"/>
    <w:rsid w:val="00DE103D"/>
    <w:rsid w:val="00DE1FF1"/>
    <w:rsid w:val="00DE3543"/>
    <w:rsid w:val="00DE4D57"/>
    <w:rsid w:val="00DF3D2E"/>
    <w:rsid w:val="00E0627D"/>
    <w:rsid w:val="00E1337F"/>
    <w:rsid w:val="00E15B03"/>
    <w:rsid w:val="00E166FA"/>
    <w:rsid w:val="00E24135"/>
    <w:rsid w:val="00E25E31"/>
    <w:rsid w:val="00E316C7"/>
    <w:rsid w:val="00E4426E"/>
    <w:rsid w:val="00E46AA6"/>
    <w:rsid w:val="00E531F1"/>
    <w:rsid w:val="00E53A90"/>
    <w:rsid w:val="00E53F83"/>
    <w:rsid w:val="00E54423"/>
    <w:rsid w:val="00E5669C"/>
    <w:rsid w:val="00E566DA"/>
    <w:rsid w:val="00E73280"/>
    <w:rsid w:val="00E743CF"/>
    <w:rsid w:val="00E77762"/>
    <w:rsid w:val="00E81776"/>
    <w:rsid w:val="00E82E8C"/>
    <w:rsid w:val="00E93149"/>
    <w:rsid w:val="00E93FE2"/>
    <w:rsid w:val="00E945F2"/>
    <w:rsid w:val="00E961AE"/>
    <w:rsid w:val="00E9735E"/>
    <w:rsid w:val="00E97BA5"/>
    <w:rsid w:val="00EA0755"/>
    <w:rsid w:val="00EA26B0"/>
    <w:rsid w:val="00EA2C6B"/>
    <w:rsid w:val="00EA37B3"/>
    <w:rsid w:val="00EA5398"/>
    <w:rsid w:val="00EA6E4C"/>
    <w:rsid w:val="00EB428A"/>
    <w:rsid w:val="00EB6685"/>
    <w:rsid w:val="00EB709B"/>
    <w:rsid w:val="00EC01A0"/>
    <w:rsid w:val="00EC3A99"/>
    <w:rsid w:val="00EC6FAF"/>
    <w:rsid w:val="00ED05A4"/>
    <w:rsid w:val="00ED24C5"/>
    <w:rsid w:val="00ED3924"/>
    <w:rsid w:val="00ED43FA"/>
    <w:rsid w:val="00ED5B25"/>
    <w:rsid w:val="00EE0C38"/>
    <w:rsid w:val="00EE19E0"/>
    <w:rsid w:val="00EE1CC8"/>
    <w:rsid w:val="00EE4396"/>
    <w:rsid w:val="00EE4CCA"/>
    <w:rsid w:val="00EF126C"/>
    <w:rsid w:val="00F033BC"/>
    <w:rsid w:val="00F045B3"/>
    <w:rsid w:val="00F07D27"/>
    <w:rsid w:val="00F24986"/>
    <w:rsid w:val="00F309DE"/>
    <w:rsid w:val="00F30F1D"/>
    <w:rsid w:val="00F35796"/>
    <w:rsid w:val="00F40135"/>
    <w:rsid w:val="00F41DCF"/>
    <w:rsid w:val="00F42127"/>
    <w:rsid w:val="00F4300E"/>
    <w:rsid w:val="00F45612"/>
    <w:rsid w:val="00F47FB8"/>
    <w:rsid w:val="00F53543"/>
    <w:rsid w:val="00F54227"/>
    <w:rsid w:val="00F603C8"/>
    <w:rsid w:val="00F64606"/>
    <w:rsid w:val="00F65AFF"/>
    <w:rsid w:val="00F76501"/>
    <w:rsid w:val="00F80068"/>
    <w:rsid w:val="00F83E47"/>
    <w:rsid w:val="00F84DF9"/>
    <w:rsid w:val="00F86325"/>
    <w:rsid w:val="00F86414"/>
    <w:rsid w:val="00F86698"/>
    <w:rsid w:val="00FA364A"/>
    <w:rsid w:val="00FA4A9A"/>
    <w:rsid w:val="00FA51BC"/>
    <w:rsid w:val="00FB090A"/>
    <w:rsid w:val="00FB1AEE"/>
    <w:rsid w:val="00FC107A"/>
    <w:rsid w:val="00FC43F5"/>
    <w:rsid w:val="00FC605A"/>
    <w:rsid w:val="00FD4FE2"/>
    <w:rsid w:val="00FE0D6A"/>
    <w:rsid w:val="00FE3BAB"/>
    <w:rsid w:val="00FE3FDC"/>
    <w:rsid w:val="00FE4039"/>
    <w:rsid w:val="00FE4600"/>
    <w:rsid w:val="00FE4AAE"/>
    <w:rsid w:val="00FE6DDB"/>
    <w:rsid w:val="00FF09F1"/>
    <w:rsid w:val="00FF2D22"/>
    <w:rsid w:val="00FF37B6"/>
    <w:rsid w:val="00FF40C8"/>
    <w:rsid w:val="00FF6F3A"/>
    <w:rsid w:val="0C120ECA"/>
    <w:rsid w:val="1CE63ECC"/>
    <w:rsid w:val="1D510FFC"/>
    <w:rsid w:val="43FE62C2"/>
    <w:rsid w:val="45813FC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ody Text Indent 2"/>
    <w:basedOn w:val="1"/>
    <w:link w:val="16"/>
    <w:uiPriority w:val="99"/>
    <w:pPr>
      <w:spacing w:after="120" w:line="480" w:lineRule="auto"/>
      <w:ind w:left="420" w:leftChars="200"/>
    </w:pPr>
    <w:rPr>
      <w:kern w:val="0"/>
    </w:rPr>
  </w:style>
  <w:style w:type="paragraph" w:styleId="3">
    <w:name w:val="footer"/>
    <w:basedOn w:val="1"/>
    <w:link w:val="9"/>
    <w:uiPriority w:val="99"/>
    <w:pPr>
      <w:tabs>
        <w:tab w:val="center" w:pos="4153"/>
        <w:tab w:val="right" w:pos="8306"/>
      </w:tabs>
      <w:snapToGrid w:val="0"/>
      <w:jc w:val="left"/>
    </w:pPr>
    <w:rPr>
      <w:kern w:val="0"/>
      <w:sz w:val="18"/>
      <w:szCs w:val="18"/>
    </w:rPr>
  </w:style>
  <w:style w:type="paragraph" w:styleId="4">
    <w:name w:val="header"/>
    <w:basedOn w:val="1"/>
    <w:link w:val="10"/>
    <w:uiPriority w:val="99"/>
    <w:pPr>
      <w:pBdr>
        <w:bottom w:val="single" w:color="auto" w:sz="6" w:space="1"/>
      </w:pBdr>
      <w:tabs>
        <w:tab w:val="center" w:pos="4153"/>
        <w:tab w:val="right" w:pos="8306"/>
      </w:tabs>
      <w:snapToGrid w:val="0"/>
      <w:jc w:val="center"/>
    </w:pPr>
    <w:rPr>
      <w:kern w:val="0"/>
      <w:sz w:val="18"/>
      <w:szCs w:val="18"/>
    </w:rPr>
  </w:style>
  <w:style w:type="character" w:styleId="6">
    <w:name w:val="page number"/>
    <w:basedOn w:val="5"/>
    <w:qFormat/>
    <w:uiPriority w:val="99"/>
  </w:style>
  <w:style w:type="character" w:styleId="7">
    <w:name w:val="footnote reference"/>
    <w:basedOn w:val="5"/>
    <w:semiHidden/>
    <w:qFormat/>
    <w:uiPriority w:val="99"/>
    <w:rPr>
      <w:vertAlign w:val="superscript"/>
    </w:rPr>
  </w:style>
  <w:style w:type="character" w:customStyle="1" w:styleId="9">
    <w:name w:val="页脚 Char"/>
    <w:basedOn w:val="5"/>
    <w:link w:val="3"/>
    <w:semiHidden/>
    <w:locked/>
    <w:uiPriority w:val="99"/>
    <w:rPr>
      <w:rFonts w:ascii="Times New Roman" w:hAnsi="Times New Roman" w:eastAsia="宋体" w:cs="Times New Roman"/>
      <w:sz w:val="18"/>
      <w:szCs w:val="18"/>
    </w:rPr>
  </w:style>
  <w:style w:type="character" w:customStyle="1" w:styleId="10">
    <w:name w:val="页眉 Char"/>
    <w:basedOn w:val="5"/>
    <w:link w:val="4"/>
    <w:semiHidden/>
    <w:locked/>
    <w:uiPriority w:val="99"/>
    <w:rPr>
      <w:rFonts w:ascii="Times New Roman" w:hAnsi="Times New Roman" w:eastAsia="宋体" w:cs="Times New Roman"/>
      <w:sz w:val="18"/>
      <w:szCs w:val="18"/>
    </w:rPr>
  </w:style>
  <w:style w:type="paragraph" w:customStyle="1" w:styleId="11">
    <w:name w:val="Char Char Char Char Char Char"/>
    <w:basedOn w:val="1"/>
    <w:uiPriority w:val="99"/>
    <w:rPr>
      <w:sz w:val="32"/>
      <w:szCs w:val="32"/>
    </w:rPr>
  </w:style>
  <w:style w:type="paragraph" w:customStyle="1" w:styleId="12">
    <w:name w:val="Char"/>
    <w:basedOn w:val="1"/>
    <w:uiPriority w:val="99"/>
    <w:pPr>
      <w:adjustRightInd w:val="0"/>
      <w:spacing w:line="360" w:lineRule="auto"/>
    </w:pPr>
    <w:rPr>
      <w:kern w:val="0"/>
      <w:sz w:val="24"/>
      <w:szCs w:val="24"/>
    </w:rPr>
  </w:style>
  <w:style w:type="character" w:customStyle="1" w:styleId="13">
    <w:name w:val="ca-11"/>
    <w:uiPriority w:val="99"/>
    <w:rPr>
      <w:rFonts w:ascii="Times New Roman" w:hAnsi="Times New Roman" w:cs="Times New Roman"/>
      <w:sz w:val="21"/>
      <w:szCs w:val="21"/>
    </w:rPr>
  </w:style>
  <w:style w:type="paragraph" w:customStyle="1" w:styleId="14">
    <w:name w:val="p0"/>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5">
    <w:name w:val="默认段落字体 Para Char Char Char Char"/>
    <w:basedOn w:val="1"/>
    <w:uiPriority w:val="99"/>
    <w:pPr>
      <w:widowControl/>
      <w:jc w:val="left"/>
    </w:pPr>
    <w:rPr>
      <w:kern w:val="0"/>
      <w:sz w:val="32"/>
      <w:szCs w:val="32"/>
    </w:rPr>
  </w:style>
  <w:style w:type="character" w:customStyle="1" w:styleId="16">
    <w:name w:val="正文文本缩进 2 Char"/>
    <w:basedOn w:val="5"/>
    <w:link w:val="2"/>
    <w:semiHidden/>
    <w:locked/>
    <w:uiPriority w:val="99"/>
    <w:rPr>
      <w:rFonts w:ascii="Times New Roman" w:hAnsi="Times New Roman" w:cs="Times New Roman"/>
      <w:sz w:val="21"/>
      <w:szCs w:val="21"/>
    </w:rPr>
  </w:style>
  <w:style w:type="paragraph" w:customStyle="1" w:styleId="17">
    <w:name w:val="Char Char2"/>
    <w:basedOn w:val="1"/>
    <w:uiPriority w:val="99"/>
    <w:rPr>
      <w:sz w:val="32"/>
      <w:szCs w:val="32"/>
    </w:rPr>
  </w:style>
  <w:style w:type="paragraph" w:customStyle="1" w:styleId="18">
    <w:name w:val="Char Char Char Char Char Char Char Char Char Char Char Char Char Char Char Char Char Char Char Char Char Char Char Char Char Char Char Char Char Char Char Char Char Char"/>
    <w:basedOn w:val="1"/>
    <w:qFormat/>
    <w:uiPriority w:val="99"/>
    <w:pPr>
      <w:ind w:firstLine="200" w:firstLineChars="200"/>
    </w:pPr>
    <w:rPr>
      <w:sz w:val="32"/>
      <w:szCs w:val="32"/>
    </w:rPr>
  </w:style>
  <w:style w:type="paragraph" w:customStyle="1" w:styleId="19">
    <w:name w:val="Char Char21"/>
    <w:basedOn w:val="1"/>
    <w:uiPriority w:val="99"/>
    <w:rPr>
      <w:sz w:val="32"/>
      <w:szCs w:val="32"/>
    </w:rPr>
  </w:style>
  <w:style w:type="paragraph" w:customStyle="1" w:styleId="20">
    <w:name w:val="Char Char Char Char Char Char Char"/>
    <w:basedOn w:val="1"/>
    <w:uiPriority w:val="99"/>
    <w:pPr>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1228</Words>
  <Characters>7006</Characters>
  <Lines>58</Lines>
  <Paragraphs>16</Paragraphs>
  <TotalTime>0</TotalTime>
  <ScaleCrop>false</ScaleCrop>
  <LinksUpToDate>false</LinksUpToDate>
  <CharactersWithSpaces>8218</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2020-07-17T01:07:00Z</dcterms:created>
  <dc:creator>PC</dc:creator>
  <cp:lastModifiedBy>Administrator</cp:lastModifiedBy>
  <cp:lastPrinted>2020-01-07T01:16:00Z</cp:lastPrinted>
  <dcterms:modified xsi:type="dcterms:W3CDTF">2020-08-25T07:37:49Z</dcterms:modified>
  <dc:title>四会市人民检察院</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ies>
</file>